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numbering.xml" ContentType="application/vnd.openxmlformats-officedocument.wordprocessingml.numbering+xml"/>
  <Override PartName="/word/footer6.xml" ContentType="application/vnd.openxmlformats-officedocument.wordprocessingml.footer+xml"/>
  <Override PartName="/word/footer5.xml" ContentType="application/vnd.openxmlformats-officedocument.wordprocessingml.footer+xml"/>
  <Override PartName="/word/theme/theme1.xml" ContentType="application/vnd.openxmlformats-officedocument.theme+xml"/>
  <Override PartName="/word/styles.xml" ContentType="application/vnd.openxmlformats-officedocument.wordprocessingml.styles+xml"/>
  <Override PartName="/word/header1.xml" ContentType="application/vnd.openxmlformats-officedocument.wordprocessingml.header+xml"/>
  <Override PartName="/word/settings.xml" ContentType="application/vnd.openxmlformats-officedocument.wordprocessingml.settings+xml"/>
  <Override PartName="/word/footer1.xml" ContentType="application/vnd.openxmlformats-officedocument.wordprocessingml.footer+xml"/>
  <Override PartName="/word/document.xml" ContentType="application/vnd.openxmlformats-officedocument.wordprocessingml.document.main+xml"/>
  <Override PartName="/word/header2.xml" ContentType="application/vnd.openxmlformats-officedocument.wordprocessingml.header+xml"/>
  <Override PartName="/word/media/image1.png" ContentType="image/png"/>
  <Override PartName="/word/media/image2.png" ContentType="image/png"/>
  <Override PartName="/word/media/image3.png" ContentType="image/png"/>
  <Override PartName="/word/media/image4.png" ContentType="image/png"/>
  <Override PartName="/word/media/image5.png" ContentType="image/png"/>
  <Override PartName="/word/media/image6.png" ContentType="image/png"/>
  <Override PartName="/word/media/image7.png" ContentType="image/png"/>
  <Override PartName="/word/fontTable.xml" ContentType="application/vnd.openxmlformats-officedocument.wordprocessingml.fontTable+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_rels/.rels" ContentType="application/vnd.openxmlformats-package.relationships+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keepNext w:val="true"/>
        <w:pBdr/>
        <w:ind w:left="1" w:hanging="3"/>
        <w:jc w:val="both"/>
        <w:rPr>
          <w:rFonts w:ascii="Times New Roman" w:hAnsi="Times New Roman" w:eastAsia="Times New Roman" w:cs="Times New Roman"/>
          <w:color w:val="000000"/>
          <w:sz w:val="28"/>
          <w:szCs w:val="28"/>
        </w:rPr>
      </w:pPr>
      <w:r>
        <w:rPr>
          <w:rFonts w:eastAsia="Times New Roman" w:cs="Times New Roman" w:ascii="Times New Roman" w:hAnsi="Times New Roman"/>
          <w:b/>
          <w:color w:val="000000"/>
          <w:sz w:val="28"/>
          <w:szCs w:val="28"/>
        </w:rPr>
        <w:t xml:space="preserve">I.E.S.  “EL ARGAR”   </w:t>
      </w:r>
    </w:p>
    <w:p>
      <w:pPr>
        <w:pStyle w:val="Normal"/>
        <w:keepNext w:val="true"/>
        <w:pBdr/>
        <w:spacing w:before="0" w:after="240"/>
        <w:ind w:left="1" w:hanging="3"/>
        <w:jc w:val="both"/>
        <w:rPr>
          <w:rFonts w:ascii="Times New Roman" w:hAnsi="Times New Roman" w:eastAsia="Times New Roman" w:cs="Times New Roman"/>
          <w:b/>
          <w:b/>
          <w:color w:val="000000"/>
          <w:sz w:val="28"/>
          <w:szCs w:val="28"/>
        </w:rPr>
      </w:pPr>
      <w:r>
        <w:rPr>
          <w:rFonts w:eastAsia="Times New Roman" w:cs="Times New Roman" w:ascii="Times New Roman" w:hAnsi="Times New Roman"/>
          <w:b/>
          <w:color w:val="000000"/>
          <w:sz w:val="28"/>
          <w:szCs w:val="28"/>
        </w:rPr>
        <w:t xml:space="preserve">ALMERÍA                                                                                                                                                                                                                                                                                                                                                                                                                                                                                                                                                                                                                                                                                                                                                                                                                                                                                                                                                                                                                                                                                                                                                                                                                                                                        </w:t>
      </w:r>
    </w:p>
    <w:p>
      <w:pPr>
        <w:pStyle w:val="Normal"/>
        <w:keepNext w:val="true"/>
        <w:widowControl w:val="false"/>
        <w:pBdr/>
        <w:ind w:left="1" w:hanging="3"/>
        <w:jc w:val="both"/>
        <w:rPr>
          <w:rFonts w:ascii="Times New Roman" w:hAnsi="Times New Roman" w:eastAsia="Times New Roman" w:cs="Times New Roman"/>
          <w:b/>
          <w:b/>
          <w:color w:val="000000"/>
          <w:sz w:val="28"/>
          <w:szCs w:val="28"/>
        </w:rPr>
      </w:pPr>
      <w:r>
        <w:rPr>
          <w:rFonts w:eastAsia="Times New Roman" w:cs="Times New Roman" w:ascii="Times New Roman" w:hAnsi="Times New Roman"/>
          <w:b/>
          <w:color w:val="000000"/>
          <w:sz w:val="28"/>
          <w:szCs w:val="28"/>
        </w:rPr>
        <w:t>DEPARTAMENTO: ADMINISTRACIÓN Y GESTIÓN</w:t>
      </w:r>
    </w:p>
    <w:p>
      <w:pPr>
        <w:pStyle w:val="Normal"/>
        <w:keepNext w:val="true"/>
        <w:widowControl w:val="false"/>
        <w:pBdr/>
        <w:ind w:left="1" w:hanging="3"/>
        <w:jc w:val="both"/>
        <w:rPr>
          <w:rFonts w:ascii="Times New Roman" w:hAnsi="Times New Roman" w:eastAsia="Times New Roman" w:cs="Times New Roman"/>
          <w:b/>
          <w:b/>
          <w:color w:val="000000"/>
          <w:sz w:val="28"/>
          <w:szCs w:val="28"/>
        </w:rPr>
      </w:pPr>
      <w:r>
        <w:rPr>
          <w:rFonts w:eastAsia="Times New Roman" w:cs="Times New Roman" w:ascii="Times New Roman" w:hAnsi="Times New Roman"/>
          <w:b/>
          <w:color w:val="000000"/>
          <w:sz w:val="28"/>
          <w:szCs w:val="28"/>
        </w:rPr>
        <w:t>Curso/Grupo/Ciclo:</w:t>
        <w:tab/>
        <w:t>1ºAFI A Y 1º AFI B</w:t>
      </w:r>
    </w:p>
    <w:p>
      <w:pPr>
        <w:pStyle w:val="Normal"/>
        <w:keepNext w:val="true"/>
        <w:widowControl w:val="false"/>
        <w:pBdr/>
        <w:ind w:left="1" w:hanging="3"/>
        <w:jc w:val="both"/>
        <w:rPr>
          <w:rFonts w:ascii="Times New Roman" w:hAnsi="Times New Roman" w:eastAsia="Times New Roman" w:cs="Times New Roman"/>
          <w:b/>
          <w:b/>
          <w:color w:val="000000"/>
          <w:sz w:val="28"/>
          <w:szCs w:val="28"/>
        </w:rPr>
      </w:pPr>
      <w:r>
        <w:rPr>
          <w:rFonts w:eastAsia="Times New Roman" w:cs="Times New Roman" w:ascii="Times New Roman" w:hAnsi="Times New Roman"/>
          <w:b/>
          <w:color w:val="000000"/>
          <w:sz w:val="28"/>
          <w:szCs w:val="28"/>
        </w:rPr>
        <w:tab/>
        <w:tab/>
        <w:tab/>
        <w:tab/>
        <w:tab/>
        <w:t>CFGS ADMINISTRACIÓN Y FINANZAS</w:t>
      </w:r>
    </w:p>
    <w:p>
      <w:pPr>
        <w:pStyle w:val="Normal"/>
        <w:keepNext w:val="true"/>
        <w:pBdr/>
        <w:ind w:left="1" w:hanging="3"/>
        <w:jc w:val="both"/>
        <w:rPr>
          <w:rFonts w:ascii="Times New Roman" w:hAnsi="Times New Roman" w:eastAsia="Times New Roman" w:cs="Times New Roman"/>
          <w:b/>
          <w:b/>
          <w:color w:val="000000"/>
          <w:sz w:val="28"/>
          <w:szCs w:val="28"/>
        </w:rPr>
      </w:pPr>
      <w:r>
        <w:rPr>
          <w:rFonts w:eastAsia="Times New Roman" w:cs="Times New Roman" w:ascii="Times New Roman" w:hAnsi="Times New Roman"/>
          <w:b/>
          <w:color w:val="000000"/>
          <w:sz w:val="28"/>
          <w:szCs w:val="28"/>
        </w:rPr>
      </w:r>
    </w:p>
    <w:p>
      <w:pPr>
        <w:pStyle w:val="Normal"/>
        <w:keepNext w:val="true"/>
        <w:pBdr/>
        <w:ind w:left="1" w:hanging="3"/>
        <w:jc w:val="both"/>
        <w:rPr>
          <w:rFonts w:ascii="Times New Roman" w:hAnsi="Times New Roman" w:eastAsia="Times New Roman" w:cs="Times New Roman"/>
          <w:b/>
          <w:b/>
          <w:color w:val="000000"/>
          <w:sz w:val="28"/>
          <w:szCs w:val="28"/>
        </w:rPr>
      </w:pPr>
      <w:r>
        <w:rPr>
          <w:rFonts w:eastAsia="Times New Roman" w:cs="Times New Roman" w:ascii="Times New Roman" w:hAnsi="Times New Roman"/>
          <w:b/>
          <w:color w:val="000000"/>
          <w:sz w:val="28"/>
          <w:szCs w:val="28"/>
        </w:rPr>
        <w:t>MÓDULO PROFESIONAL:</w:t>
        <w:tab/>
        <w:t>Comunicación y Atención al Cliente.</w:t>
      </w:r>
    </w:p>
    <w:p>
      <w:pPr>
        <w:pStyle w:val="Normal"/>
        <w:ind w:hanging="2"/>
        <w:jc w:val="both"/>
        <w:rPr>
          <w:rFonts w:ascii="Times New Roman" w:hAnsi="Times New Roman" w:eastAsia="Times New Roman" w:cs="Times New Roman"/>
        </w:rPr>
      </w:pPr>
      <w:r>
        <w:rPr>
          <w:rFonts w:eastAsia="Times New Roman" w:cs="Times New Roman" w:ascii="Times New Roman" w:hAnsi="Times New Roman"/>
        </w:rPr>
      </w:r>
    </w:p>
    <w:p>
      <w:pPr>
        <w:pStyle w:val="Normal"/>
        <w:pBdr>
          <w:top w:val="single" w:sz="6" w:space="1" w:color="000000"/>
          <w:left w:val="single" w:sz="6" w:space="0" w:color="000000"/>
          <w:bottom w:val="single" w:sz="18" w:space="1" w:color="000000"/>
          <w:right w:val="single" w:sz="18" w:space="1" w:color="000000"/>
        </w:pBdr>
        <w:ind w:left="1" w:hanging="3"/>
        <w:jc w:val="center"/>
        <w:rPr>
          <w:rFonts w:ascii="Times New Roman" w:hAnsi="Times New Roman" w:eastAsia="Times New Roman" w:cs="Times New Roman"/>
          <w:sz w:val="32"/>
          <w:szCs w:val="32"/>
        </w:rPr>
      </w:pPr>
      <w:r>
        <w:rPr>
          <w:rFonts w:eastAsia="Times New Roman" w:cs="Times New Roman" w:ascii="Times New Roman" w:hAnsi="Times New Roman"/>
          <w:b/>
          <w:sz w:val="32"/>
          <w:szCs w:val="32"/>
        </w:rPr>
        <w:t>P  R  O  G  R  A  M  A  C  I  Ó  N</w:t>
      </w:r>
    </w:p>
    <w:p>
      <w:pPr>
        <w:pStyle w:val="Normal"/>
        <w:pBdr>
          <w:top w:val="single" w:sz="6" w:space="1" w:color="000000"/>
          <w:left w:val="single" w:sz="6" w:space="0" w:color="000000"/>
          <w:bottom w:val="single" w:sz="18" w:space="1" w:color="000000"/>
          <w:right w:val="single" w:sz="18" w:space="1" w:color="000000"/>
        </w:pBdr>
        <w:ind w:left="1" w:hanging="3"/>
        <w:jc w:val="center"/>
        <w:rPr>
          <w:rFonts w:ascii="Times New Roman" w:hAnsi="Times New Roman" w:eastAsia="Times New Roman" w:cs="Times New Roman"/>
          <w:sz w:val="32"/>
          <w:szCs w:val="32"/>
        </w:rPr>
      </w:pPr>
      <w:r>
        <w:rPr>
          <w:rFonts w:eastAsia="Times New Roman" w:cs="Times New Roman" w:ascii="Times New Roman" w:hAnsi="Times New Roman"/>
          <w:b/>
          <w:sz w:val="32"/>
          <w:szCs w:val="32"/>
        </w:rPr>
        <w:t>CICLOS FORMATIVOS</w:t>
      </w:r>
    </w:p>
    <w:p>
      <w:pPr>
        <w:pStyle w:val="Normal"/>
        <w:pBdr>
          <w:top w:val="single" w:sz="6" w:space="1" w:color="000000"/>
          <w:left w:val="single" w:sz="6" w:space="0" w:color="000000"/>
          <w:bottom w:val="single" w:sz="18" w:space="1" w:color="000000"/>
          <w:right w:val="single" w:sz="18" w:space="1" w:color="000000"/>
        </w:pBdr>
        <w:ind w:left="1" w:hanging="3"/>
        <w:jc w:val="center"/>
        <w:rPr>
          <w:rFonts w:ascii="Times New Roman" w:hAnsi="Times New Roman" w:eastAsia="Times New Roman" w:cs="Times New Roman"/>
          <w:sz w:val="32"/>
          <w:szCs w:val="32"/>
        </w:rPr>
      </w:pPr>
      <w:r>
        <w:rPr>
          <w:rFonts w:eastAsia="Times New Roman" w:cs="Times New Roman" w:ascii="Times New Roman" w:hAnsi="Times New Roman"/>
          <w:b/>
          <w:sz w:val="32"/>
          <w:szCs w:val="32"/>
        </w:rPr>
        <w:t>POR OBJETIVOS Y COMPETENCIAS</w:t>
      </w:r>
    </w:p>
    <w:p>
      <w:pPr>
        <w:pStyle w:val="Normal"/>
        <w:pBdr>
          <w:top w:val="single" w:sz="6" w:space="1" w:color="000000"/>
          <w:left w:val="single" w:sz="6" w:space="0" w:color="000000"/>
          <w:bottom w:val="single" w:sz="18" w:space="1" w:color="000000"/>
          <w:right w:val="single" w:sz="18" w:space="1" w:color="000000"/>
        </w:pBdr>
        <w:ind w:hanging="2"/>
        <w:jc w:val="center"/>
        <w:rPr>
          <w:rFonts w:ascii="Times New Roman" w:hAnsi="Times New Roman" w:eastAsia="Times New Roman" w:cs="Times New Roman"/>
        </w:rPr>
      </w:pPr>
      <w:r>
        <w:rPr>
          <w:rFonts w:eastAsia="Times New Roman" w:cs="Times New Roman" w:ascii="Times New Roman" w:hAnsi="Times New Roman"/>
        </w:rPr>
      </w:r>
    </w:p>
    <w:p>
      <w:pPr>
        <w:pStyle w:val="Normal"/>
        <w:pBdr>
          <w:top w:val="single" w:sz="6" w:space="1" w:color="000000"/>
          <w:left w:val="single" w:sz="6" w:space="0" w:color="000000"/>
          <w:bottom w:val="single" w:sz="18" w:space="1" w:color="000000"/>
          <w:right w:val="single" w:sz="18" w:space="1" w:color="000000"/>
        </w:pBdr>
        <w:ind w:hanging="2"/>
        <w:jc w:val="center"/>
        <w:rPr>
          <w:rFonts w:ascii="Times New Roman" w:hAnsi="Times New Roman" w:eastAsia="Times New Roman" w:cs="Times New Roman"/>
        </w:rPr>
      </w:pPr>
      <w:r>
        <w:rPr>
          <w:rFonts w:eastAsia="Times New Roman" w:cs="Times New Roman" w:ascii="Times New Roman" w:hAnsi="Times New Roman"/>
          <w:b/>
        </w:rPr>
        <w:t>CURSO (2025/2026):</w:t>
      </w:r>
    </w:p>
    <w:p>
      <w:pPr>
        <w:pStyle w:val="Normal"/>
        <w:ind w:hanging="2"/>
        <w:jc w:val="both"/>
        <w:rPr>
          <w:rFonts w:ascii="Times New Roman" w:hAnsi="Times New Roman" w:eastAsia="Times New Roman" w:cs="Times New Roman"/>
        </w:rPr>
      </w:pPr>
      <w:r>
        <w:rPr>
          <w:rFonts w:eastAsia="Times New Roman" w:cs="Times New Roman" w:ascii="Times New Roman" w:hAnsi="Times New Roman"/>
        </w:rPr>
      </w:r>
    </w:p>
    <w:p>
      <w:pPr>
        <w:pStyle w:val="Normal"/>
        <w:ind w:hanging="2"/>
        <w:jc w:val="center"/>
        <w:rPr>
          <w:sz w:val="23"/>
          <w:szCs w:val="23"/>
        </w:rPr>
      </w:pPr>
      <w:r>
        <w:rPr>
          <w:sz w:val="23"/>
          <w:szCs w:val="23"/>
        </w:rPr>
      </w:r>
    </w:p>
    <w:tbl>
      <w:tblPr>
        <w:tblStyle w:val="afffffb"/>
        <w:tblW w:w="6525" w:type="dxa"/>
        <w:jc w:val="left"/>
        <w:tblInd w:w="1701" w:type="dxa"/>
        <w:tblLayout w:type="fixed"/>
        <w:tblCellMar>
          <w:top w:w="0" w:type="dxa"/>
          <w:left w:w="108" w:type="dxa"/>
          <w:bottom w:w="0" w:type="dxa"/>
          <w:right w:w="108" w:type="dxa"/>
        </w:tblCellMar>
        <w:tblLook w:val="0000" w:noHBand="0" w:noVBand="0" w:firstColumn="0" w:lastRow="0" w:lastColumn="0" w:firstRow="0"/>
      </w:tblPr>
      <w:tblGrid>
        <w:gridCol w:w="6525"/>
      </w:tblGrid>
      <w:tr>
        <w:trPr/>
        <w:tc>
          <w:tcPr>
            <w:tcW w:w="6525" w:type="dxa"/>
            <w:tcBorders>
              <w:top w:val="single" w:sz="24" w:space="0" w:color="000000"/>
              <w:left w:val="single" w:sz="24" w:space="0" w:color="000000"/>
              <w:bottom w:val="single" w:sz="24" w:space="0" w:color="000000"/>
              <w:right w:val="single" w:sz="24" w:space="0" w:color="000000"/>
            </w:tcBorders>
          </w:tcPr>
          <w:p>
            <w:pPr>
              <w:pStyle w:val="Normal"/>
              <w:widowControl w:val="false"/>
              <w:ind w:hanging="2"/>
              <w:jc w:val="center"/>
              <w:rPr>
                <w:sz w:val="23"/>
                <w:szCs w:val="23"/>
              </w:rPr>
            </w:pPr>
            <w:r>
              <w:rPr>
                <w:sz w:val="23"/>
                <w:szCs w:val="23"/>
              </w:rPr>
              <w:t>PROFESORES QUE IMPARTEN LA ASIGNATURA Y ASUMEN POR TANTO EL CONTENIDO DE ESTA PROGRAMACIÓN</w:t>
            </w:r>
          </w:p>
        </w:tc>
      </w:tr>
      <w:tr>
        <w:trPr>
          <w:trHeight w:val="611" w:hRule="atLeast"/>
        </w:trPr>
        <w:tc>
          <w:tcPr>
            <w:tcW w:w="6525" w:type="dxa"/>
            <w:tcBorders>
              <w:top w:val="single" w:sz="4" w:space="0" w:color="000000"/>
              <w:left w:val="single" w:sz="24" w:space="0" w:color="000000"/>
              <w:bottom w:val="single" w:sz="24" w:space="0" w:color="000000"/>
              <w:right w:val="single" w:sz="24" w:space="0" w:color="000000"/>
            </w:tcBorders>
            <w:vAlign w:val="center"/>
          </w:tcPr>
          <w:p>
            <w:pPr>
              <w:pStyle w:val="Normal"/>
              <w:widowControl w:val="false"/>
              <w:ind w:hanging="2"/>
              <w:jc w:val="center"/>
              <w:rPr/>
            </w:pPr>
            <w:r>
              <w:rPr>
                <w:b/>
              </w:rPr>
              <w:t>MARÍA JOSÉ SERRANO LÓPEZ</w:t>
            </w:r>
          </w:p>
        </w:tc>
      </w:tr>
    </w:tbl>
    <w:p>
      <w:pPr>
        <w:pStyle w:val="Normal"/>
        <w:ind w:hanging="2"/>
        <w:jc w:val="both"/>
        <w:rPr>
          <w:rFonts w:ascii="Times New Roman" w:hAnsi="Times New Roman" w:eastAsia="Times New Roman" w:cs="Times New Roman"/>
        </w:rPr>
      </w:pPr>
      <w:r>
        <w:rPr>
          <w:rFonts w:eastAsia="Times New Roman" w:cs="Times New Roman" w:ascii="Times New Roman" w:hAnsi="Times New Roman"/>
        </w:rPr>
      </w:r>
    </w:p>
    <w:p>
      <w:pPr>
        <w:pStyle w:val="Normal"/>
        <w:ind w:hanging="2"/>
        <w:jc w:val="both"/>
        <w:rPr>
          <w:rFonts w:ascii="Times New Roman" w:hAnsi="Times New Roman" w:eastAsia="Times New Roman" w:cs="Times New Roman"/>
        </w:rPr>
      </w:pPr>
      <w:r>
        <w:rPr>
          <w:rFonts w:eastAsia="Times New Roman" w:cs="Times New Roman" w:ascii="Times New Roman" w:hAnsi="Times New Roman"/>
        </w:rPr>
      </w:r>
    </w:p>
    <w:tbl>
      <w:tblPr>
        <w:tblStyle w:val="afffffc"/>
        <w:tblW w:w="5868" w:type="dxa"/>
        <w:jc w:val="center"/>
        <w:tblInd w:w="0" w:type="dxa"/>
        <w:tblLayout w:type="fixed"/>
        <w:tblCellMar>
          <w:top w:w="0" w:type="dxa"/>
          <w:left w:w="108" w:type="dxa"/>
          <w:bottom w:w="0" w:type="dxa"/>
          <w:right w:w="108" w:type="dxa"/>
        </w:tblCellMar>
        <w:tblLook w:val="0000" w:noHBand="0" w:noVBand="0" w:firstColumn="0" w:lastRow="0" w:lastColumn="0" w:firstRow="0"/>
      </w:tblPr>
      <w:tblGrid>
        <w:gridCol w:w="5868"/>
      </w:tblGrid>
      <w:tr>
        <w:trPr>
          <w:trHeight w:val="1035" w:hRule="atLeast"/>
        </w:trPr>
        <w:tc>
          <w:tcPr>
            <w:tcW w:w="5868" w:type="dxa"/>
            <w:tcBorders>
              <w:top w:val="single" w:sz="24" w:space="0" w:color="000000"/>
              <w:left w:val="single" w:sz="24" w:space="0" w:color="000000"/>
              <w:bottom w:val="single" w:sz="24" w:space="0" w:color="000000"/>
              <w:right w:val="single" w:sz="24" w:space="0" w:color="000000"/>
            </w:tcBorders>
            <w:vAlign w:val="center"/>
          </w:tcPr>
          <w:p>
            <w:pPr>
              <w:pStyle w:val="Normal"/>
              <w:widowControl w:val="false"/>
              <w:ind w:hanging="2"/>
              <w:rPr>
                <w:sz w:val="23"/>
                <w:szCs w:val="23"/>
              </w:rPr>
            </w:pPr>
            <w:r>
              <w:rPr>
                <w:sz w:val="23"/>
                <w:szCs w:val="23"/>
              </w:rPr>
              <w:t>HERRAMIENTAS DE EVALUACIÓN</w:t>
            </w:r>
          </w:p>
          <w:p>
            <w:pPr>
              <w:pStyle w:val="Normal"/>
              <w:widowControl w:val="false"/>
              <w:ind w:hanging="2"/>
              <w:rPr>
                <w:color w:val="0000FF"/>
                <w:sz w:val="23"/>
                <w:szCs w:val="23"/>
              </w:rPr>
            </w:pPr>
            <w:r>
              <w:rPr>
                <w:color w:val="0000FF"/>
                <w:sz w:val="23"/>
                <w:szCs w:val="23"/>
              </w:rPr>
            </w:r>
          </w:p>
        </w:tc>
      </w:tr>
      <w:tr>
        <w:trPr/>
        <w:tc>
          <w:tcPr>
            <w:tcW w:w="5868" w:type="dxa"/>
            <w:tcBorders>
              <w:top w:val="single" w:sz="24" w:space="0" w:color="000000"/>
              <w:left w:val="single" w:sz="24" w:space="0" w:color="000000"/>
              <w:bottom w:val="single" w:sz="4" w:space="0" w:color="000000"/>
              <w:right w:val="single" w:sz="24" w:space="0" w:color="000000"/>
            </w:tcBorders>
          </w:tcPr>
          <w:p>
            <w:pPr>
              <w:pStyle w:val="Normal"/>
              <w:widowControl w:val="false"/>
              <w:ind w:hanging="2"/>
              <w:rPr>
                <w:color w:val="0000FF"/>
                <w:sz w:val="23"/>
                <w:szCs w:val="23"/>
              </w:rPr>
            </w:pPr>
            <w:r>
              <w:rPr>
                <w:color w:val="0000FF"/>
                <w:sz w:val="23"/>
                <w:szCs w:val="23"/>
              </w:rPr>
              <w:t>Exámenes ORALES  y/o ESCRITOS</w:t>
            </w:r>
          </w:p>
        </w:tc>
      </w:tr>
      <w:tr>
        <w:trPr/>
        <w:tc>
          <w:tcPr>
            <w:tcW w:w="5868" w:type="dxa"/>
            <w:tcBorders>
              <w:top w:val="single" w:sz="4" w:space="0" w:color="000000"/>
              <w:left w:val="single" w:sz="24" w:space="0" w:color="000000"/>
              <w:bottom w:val="single" w:sz="4" w:space="0" w:color="000000"/>
              <w:right w:val="single" w:sz="24" w:space="0" w:color="000000"/>
            </w:tcBorders>
          </w:tcPr>
          <w:p>
            <w:pPr>
              <w:pStyle w:val="Normal"/>
              <w:widowControl w:val="false"/>
              <w:ind w:hanging="2"/>
              <w:rPr>
                <w:color w:val="0000FF"/>
                <w:sz w:val="23"/>
                <w:szCs w:val="23"/>
              </w:rPr>
            </w:pPr>
            <w:r>
              <w:rPr>
                <w:color w:val="0000FF"/>
                <w:sz w:val="23"/>
                <w:szCs w:val="23"/>
              </w:rPr>
              <w:t>Proyectos, diarios de trabajo,  actividades, (mapas conceptuales, infografías, resúmenes…) tareas</w:t>
            </w:r>
          </w:p>
        </w:tc>
      </w:tr>
      <w:tr>
        <w:trPr/>
        <w:tc>
          <w:tcPr>
            <w:tcW w:w="5868" w:type="dxa"/>
            <w:tcBorders>
              <w:top w:val="single" w:sz="4" w:space="0" w:color="000000"/>
              <w:left w:val="single" w:sz="24" w:space="0" w:color="000000"/>
              <w:bottom w:val="single" w:sz="24" w:space="0" w:color="000000"/>
              <w:right w:val="single" w:sz="24" w:space="0" w:color="000000"/>
            </w:tcBorders>
          </w:tcPr>
          <w:p>
            <w:pPr>
              <w:pStyle w:val="Normal"/>
              <w:widowControl w:val="false"/>
              <w:ind w:hanging="2"/>
              <w:rPr>
                <w:color w:val="0000FF"/>
                <w:sz w:val="23"/>
                <w:szCs w:val="23"/>
              </w:rPr>
            </w:pPr>
            <w:r>
              <w:rPr>
                <w:color w:val="0000FF"/>
                <w:sz w:val="23"/>
                <w:szCs w:val="23"/>
              </w:rPr>
            </w:r>
          </w:p>
        </w:tc>
      </w:tr>
    </w:tbl>
    <w:p>
      <w:pPr>
        <w:pStyle w:val="Normal"/>
        <w:ind w:hanging="2"/>
        <w:jc w:val="both"/>
        <w:rPr>
          <w:rFonts w:ascii="Times New Roman" w:hAnsi="Times New Roman" w:eastAsia="Times New Roman" w:cs="Times New Roman"/>
        </w:rPr>
      </w:pPr>
      <w:r>
        <w:rPr>
          <w:rFonts w:eastAsia="Times New Roman" w:cs="Times New Roman" w:ascii="Times New Roman" w:hAnsi="Times New Roman"/>
        </w:rPr>
      </w:r>
    </w:p>
    <w:p>
      <w:pPr>
        <w:pStyle w:val="Normal"/>
        <w:ind w:hanging="2"/>
        <w:rPr>
          <w:rFonts w:ascii="Times New Roman" w:hAnsi="Times New Roman" w:eastAsia="Times New Roman" w:cs="Times New Roman"/>
          <w:color w:val="000000"/>
        </w:rPr>
      </w:pPr>
      <w:r>
        <w:rPr>
          <w:rFonts w:eastAsia="Times New Roman" w:cs="Times New Roman" w:ascii="Times New Roman" w:hAnsi="Times New Roman"/>
          <w:b/>
          <w:color w:val="000000"/>
        </w:rPr>
        <w:t>El total de horas a impartir según serían 145 a razón de cuatro horas semanales según Real Decreto 500/2024, de 21 de mayo, por el que se modifican determinados reales decretos por los que se establecen títulos de Formación Profesional de grado superior y se fijan sus enseñanzas mínimas para su adaptación a lo establecido en el Real Decreto 659/2023, de 18 de julio, por el que se desarrolla la ordenación del Sistema de Formación Profesional. aunque dependiendo de cuándo son los festivos y puentes el número puede sufrir variación.</w:t>
      </w:r>
    </w:p>
    <w:p>
      <w:pPr>
        <w:pStyle w:val="Normal"/>
        <w:ind w:hanging="2"/>
        <w:jc w:val="both"/>
        <w:rPr>
          <w:rFonts w:ascii="Times New Roman" w:hAnsi="Times New Roman" w:eastAsia="Times New Roman" w:cs="Times New Roman"/>
        </w:rPr>
      </w:pPr>
      <w:r>
        <w:rPr>
          <w:rFonts w:eastAsia="Times New Roman" w:cs="Times New Roman" w:ascii="Times New Roman" w:hAnsi="Times New Roman"/>
        </w:rPr>
      </w:r>
    </w:p>
    <w:p>
      <w:pPr>
        <w:pStyle w:val="Normal"/>
        <w:keepNext w:val="true"/>
        <w:pBdr/>
        <w:ind w:hanging="2"/>
        <w:jc w:val="both"/>
        <w:rPr>
          <w:rFonts w:ascii="Times New Roman" w:hAnsi="Times New Roman" w:eastAsia="Times New Roman" w:cs="Times New Roman"/>
          <w:color w:val="000000"/>
        </w:rPr>
      </w:pPr>
      <w:r>
        <w:rPr>
          <w:rFonts w:eastAsia="Times New Roman" w:cs="Times New Roman" w:ascii="Times New Roman" w:hAnsi="Times New Roman"/>
          <w:b/>
          <w:color w:val="000000"/>
        </w:rPr>
        <w:t>EL NÚMERO DE HORAS INDICADAS AQUÍ DEBE CORRESPONDERSE CON LA SUMA DE HORAS DE LAS DIFERENTES UNIDADES DEL CURSO .</w:t>
      </w:r>
    </w:p>
    <w:tbl>
      <w:tblPr>
        <w:tblStyle w:val="afffffd"/>
        <w:tblW w:w="9180" w:type="dxa"/>
        <w:jc w:val="left"/>
        <w:tblInd w:w="-350" w:type="dxa"/>
        <w:tblLayout w:type="fixed"/>
        <w:tblCellMar>
          <w:top w:w="0" w:type="dxa"/>
          <w:left w:w="108" w:type="dxa"/>
          <w:bottom w:w="0" w:type="dxa"/>
          <w:right w:w="108" w:type="dxa"/>
        </w:tblCellMar>
        <w:tblLook w:val="0000" w:noHBand="0" w:noVBand="0" w:firstColumn="0" w:lastRow="0" w:lastColumn="0" w:firstRow="0"/>
      </w:tblPr>
      <w:tblGrid>
        <w:gridCol w:w="3369"/>
        <w:gridCol w:w="5810"/>
      </w:tblGrid>
      <w:tr>
        <w:trPr>
          <w:trHeight w:val="387" w:hRule="atLeast"/>
        </w:trPr>
        <w:tc>
          <w:tcPr>
            <w:tcW w:w="3369" w:type="dxa"/>
            <w:tcBorders>
              <w:top w:val="single" w:sz="18" w:space="0" w:color="000000"/>
              <w:left w:val="single" w:sz="18" w:space="0" w:color="000000"/>
              <w:bottom w:val="single" w:sz="18" w:space="0" w:color="000000"/>
              <w:right w:val="single" w:sz="18" w:space="0" w:color="000000"/>
            </w:tcBorders>
          </w:tcPr>
          <w:p>
            <w:pPr>
              <w:pStyle w:val="Normal"/>
              <w:keepNext w:val="true"/>
              <w:widowControl w:val="false"/>
              <w:pBdr/>
              <w:ind w:hanging="2"/>
              <w:jc w:val="right"/>
              <w:rPr>
                <w:rFonts w:ascii="Times New Roman" w:hAnsi="Times New Roman" w:eastAsia="Times New Roman" w:cs="Times New Roman"/>
                <w:color w:val="000000"/>
              </w:rPr>
            </w:pPr>
            <w:r>
              <w:rPr>
                <w:rFonts w:eastAsia="Times New Roman" w:cs="Times New Roman" w:ascii="Times New Roman" w:hAnsi="Times New Roman"/>
                <w:b/>
                <w:color w:val="000000"/>
              </w:rPr>
              <w:t>NÚMERO DE HORAS</w:t>
            </w:r>
          </w:p>
        </w:tc>
        <w:tc>
          <w:tcPr>
            <w:tcW w:w="5810" w:type="dxa"/>
            <w:tcBorders>
              <w:top w:val="single" w:sz="18" w:space="0" w:color="000000"/>
              <w:left w:val="single" w:sz="18" w:space="0" w:color="000000"/>
              <w:bottom w:val="single" w:sz="18" w:space="0" w:color="000000"/>
              <w:right w:val="single" w:sz="18" w:space="0" w:color="000000"/>
            </w:tcBorders>
          </w:tcPr>
          <w:p>
            <w:pPr>
              <w:pStyle w:val="Normal"/>
              <w:keepNext w:val="true"/>
              <w:widowControl w:val="false"/>
              <w:pBdr/>
              <w:ind w:hanging="2"/>
              <w:rPr>
                <w:rFonts w:ascii="Times New Roman" w:hAnsi="Times New Roman" w:eastAsia="Times New Roman" w:cs="Times New Roman"/>
                <w:color w:val="000000"/>
              </w:rPr>
            </w:pPr>
            <w:r>
              <w:rPr>
                <w:rFonts w:eastAsia="Times New Roman" w:cs="Times New Roman" w:ascii="Times New Roman" w:hAnsi="Times New Roman"/>
                <w:b/>
                <w:color w:val="000000"/>
              </w:rPr>
              <w:t>1ºAFI A 13</w:t>
            </w:r>
            <w:r>
              <w:rPr>
                <w:rFonts w:eastAsia="Times New Roman" w:cs="Times New Roman" w:ascii="Times New Roman" w:hAnsi="Times New Roman"/>
                <w:b/>
              </w:rPr>
              <w:t>4</w:t>
            </w:r>
            <w:r>
              <w:rPr>
                <w:rFonts w:eastAsia="Times New Roman" w:cs="Times New Roman" w:ascii="Times New Roman" w:hAnsi="Times New Roman"/>
                <w:b/>
                <w:color w:val="000000"/>
              </w:rPr>
              <w:t xml:space="preserve"> /1º AFI B 136</w:t>
            </w:r>
          </w:p>
          <w:p>
            <w:pPr>
              <w:pStyle w:val="Normal"/>
              <w:widowControl w:val="false"/>
              <w:ind w:hanging="2"/>
              <w:jc w:val="right"/>
              <w:rPr>
                <w:rFonts w:ascii="Times New Roman" w:hAnsi="Times New Roman" w:eastAsia="Times New Roman" w:cs="Times New Roman"/>
              </w:rPr>
            </w:pPr>
            <w:r>
              <w:rPr/>
            </w:r>
          </w:p>
        </w:tc>
      </w:tr>
    </w:tbl>
    <w:p>
      <w:pPr>
        <w:pStyle w:val="Normal"/>
        <w:keepNext w:val="true"/>
        <w:pBdr/>
        <w:ind w:hanging="2"/>
        <w:jc w:val="both"/>
        <w:rPr>
          <w:rFonts w:ascii="Times New Roman" w:hAnsi="Times New Roman" w:eastAsia="Times New Roman" w:cs="Times New Roman"/>
          <w:color w:val="000000"/>
        </w:rPr>
      </w:pPr>
      <w:r>
        <w:rPr>
          <w:rFonts w:eastAsia="Times New Roman" w:cs="Times New Roman" w:ascii="Times New Roman" w:hAnsi="Times New Roman"/>
          <w:b/>
          <w:color w:val="000000"/>
        </w:rPr>
        <w:t xml:space="preserve"> </w:t>
      </w:r>
    </w:p>
    <w:p>
      <w:pPr>
        <w:pStyle w:val="Normal"/>
        <w:ind w:hanging="2"/>
        <w:rPr>
          <w:color w:val="002060"/>
        </w:rPr>
      </w:pPr>
      <w:r>
        <w:rPr>
          <w:color w:val="002060"/>
        </w:rPr>
      </w:r>
    </w:p>
    <w:p>
      <w:pPr>
        <w:pStyle w:val="Normal"/>
        <w:keepNext w:val="true"/>
        <w:numPr>
          <w:ilvl w:val="0"/>
          <w:numId w:val="8"/>
        </w:numPr>
        <w:pBdr/>
        <w:spacing w:before="120" w:after="120"/>
        <w:ind w:left="0" w:hanging="2"/>
        <w:jc w:val="both"/>
        <w:rPr>
          <w:rFonts w:ascii="Times New Roman" w:hAnsi="Times New Roman" w:eastAsia="Times New Roman" w:cs="Times New Roman"/>
          <w:b/>
          <w:b/>
          <w:color w:val="000000"/>
        </w:rPr>
      </w:pPr>
      <w:r>
        <w:rPr>
          <w:rFonts w:eastAsia="Times New Roman" w:cs="Times New Roman" w:ascii="Times New Roman" w:hAnsi="Times New Roman"/>
          <w:b/>
          <w:color w:val="000000"/>
        </w:rPr>
        <w:t>JUSTIFICACIÓN DE LA PROGRAMACIÓN EN BASE A LA NORMATIVA VIGENTE</w:t>
      </w:r>
    </w:p>
    <w:p>
      <w:pPr>
        <w:pStyle w:val="Normal"/>
        <w:ind w:left="2" w:firstLine="718"/>
        <w:jc w:val="both"/>
        <w:rPr/>
      </w:pPr>
      <w:r>
        <w:rPr/>
        <w:t>El desarrollo de la presente programación ha sido elaborada teniendo en consideración la siguiente normativa:</w:t>
      </w:r>
    </w:p>
    <w:p>
      <w:pPr>
        <w:pStyle w:val="Normal"/>
        <w:ind w:left="2" w:hanging="1"/>
        <w:jc w:val="both"/>
        <w:rPr/>
      </w:pPr>
      <w:r>
        <w:rPr/>
      </w:r>
    </w:p>
    <w:p>
      <w:pPr>
        <w:pStyle w:val="Normal"/>
        <w:spacing w:lineRule="auto" w:line="259" w:before="0" w:after="160"/>
        <w:rPr>
          <w:b/>
          <w:b/>
        </w:rPr>
      </w:pPr>
      <w:r>
        <w:rPr>
          <w:b/>
        </w:rPr>
        <w:t xml:space="preserve">Normativa estatal básica </w:t>
      </w:r>
    </w:p>
    <w:p>
      <w:pPr>
        <w:pStyle w:val="Normal"/>
        <w:numPr>
          <w:ilvl w:val="0"/>
          <w:numId w:val="33"/>
        </w:numPr>
        <w:spacing w:lineRule="auto" w:line="259" w:before="0" w:after="160"/>
        <w:jc w:val="both"/>
        <w:rPr>
          <w:i/>
          <w:i/>
        </w:rPr>
      </w:pPr>
      <w:r>
        <w:rPr>
          <w:i/>
        </w:rPr>
        <w:t xml:space="preserve">Ley Orgánica 3/2022, de 31 de marzo, de ordenación e integración de la Formación Profesional  </w:t>
      </w:r>
    </w:p>
    <w:p>
      <w:pPr>
        <w:pStyle w:val="Normal"/>
        <w:spacing w:lineRule="auto" w:line="259" w:before="0" w:after="160"/>
        <w:rPr/>
      </w:pPr>
      <w:r>
        <w:rPr/>
        <w:t xml:space="preserve">   </w:t>
      </w:r>
      <w:r>
        <w:rPr/>
        <w:t xml:space="preserve">- Regula el nuevo modelo de FP en España: estructura, grados, integración de las competencias profesionales, flexibilidad curricular, modalidad dual.  </w:t>
      </w:r>
    </w:p>
    <w:p>
      <w:pPr>
        <w:pStyle w:val="Normal"/>
        <w:spacing w:lineRule="auto" w:line="259" w:before="0" w:after="160"/>
        <w:rPr/>
      </w:pPr>
      <w:r>
        <w:rPr/>
        <w:t xml:space="preserve">   </w:t>
      </w:r>
      <w:r>
        <w:rPr/>
        <w:t xml:space="preserve">- Es la ley de referencia para todo el sistema de FP.  </w:t>
      </w:r>
    </w:p>
    <w:p>
      <w:pPr>
        <w:pStyle w:val="Normal"/>
        <w:numPr>
          <w:ilvl w:val="0"/>
          <w:numId w:val="31"/>
        </w:numPr>
        <w:spacing w:lineRule="auto" w:line="259" w:before="0" w:after="160"/>
        <w:jc w:val="both"/>
        <w:rPr>
          <w:i/>
          <w:i/>
        </w:rPr>
      </w:pPr>
      <w:r>
        <w:rPr>
          <w:i/>
        </w:rPr>
        <w:t xml:space="preserve">Real Decreto 659/2023, de 18 de julio, por el que se desarrolla la ordenación del Sistema de Formación Profesional  </w:t>
      </w:r>
    </w:p>
    <w:p>
      <w:pPr>
        <w:pStyle w:val="Normal"/>
        <w:spacing w:lineRule="auto" w:line="259" w:before="0" w:after="160"/>
        <w:rPr/>
      </w:pPr>
      <w:r>
        <w:rPr/>
        <w:t xml:space="preserve">   </w:t>
      </w:r>
      <w:r>
        <w:rPr/>
        <w:t xml:space="preserve">- Establece las bases reglamentarias para la aplicación de la Ley Orgánica 3/2022.  </w:t>
      </w:r>
    </w:p>
    <w:p>
      <w:pPr>
        <w:pStyle w:val="Normal"/>
        <w:spacing w:lineRule="auto" w:line="259" w:before="0" w:after="160"/>
        <w:rPr/>
      </w:pPr>
      <w:r>
        <w:rPr/>
        <w:t xml:space="preserve">   </w:t>
      </w:r>
      <w:r>
        <w:rPr/>
        <w:t xml:space="preserve">- Define modalidades de FP (completa, modular), grados (A, B, C, D, E) y aspectos como la formación en empresa, acreditación, flexibilización curricular. [1]   </w:t>
      </w:r>
    </w:p>
    <w:p>
      <w:pPr>
        <w:pStyle w:val="Normal"/>
        <w:numPr>
          <w:ilvl w:val="0"/>
          <w:numId w:val="31"/>
        </w:numPr>
        <w:spacing w:lineRule="auto" w:line="259" w:before="0" w:after="160"/>
        <w:jc w:val="both"/>
        <w:rPr>
          <w:i/>
          <w:i/>
        </w:rPr>
      </w:pPr>
      <w:r>
        <w:rPr>
          <w:i/>
        </w:rPr>
        <w:t xml:space="preserve">Real Decreto 500/2024, de 21 de mayo, </w:t>
      </w:r>
      <w:r>
        <w:rPr/>
        <w:t xml:space="preserve">por el que se modifican determinados reales decretos por los que se establecen títulos de Formación Profesional de grado superior y se fijan sus enseñanzas mínimas </w:t>
      </w:r>
      <w:r>
        <w:rPr>
          <w:rFonts w:ascii="Verdana" w:hAnsi="Verdana"/>
          <w:color w:val="000000"/>
          <w:shd w:fill="FFFFFF" w:val="clear"/>
        </w:rPr>
        <w:t>para su adaptación a lo establecido en el Real Decreto 659/2023, de 18 de julio, por el que se desarrolla la ordenación del Sistema de Formación Profesional.</w:t>
      </w:r>
    </w:p>
    <w:p>
      <w:pPr>
        <w:pStyle w:val="Normal"/>
        <w:spacing w:lineRule="auto" w:line="259" w:before="0" w:after="160"/>
        <w:rPr/>
      </w:pPr>
      <w:r>
        <w:rPr/>
      </w:r>
    </w:p>
    <w:p>
      <w:pPr>
        <w:pStyle w:val="Normal"/>
        <w:spacing w:lineRule="auto" w:line="259" w:before="0" w:after="160"/>
        <w:rPr>
          <w:b/>
          <w:b/>
        </w:rPr>
      </w:pPr>
      <w:r>
        <w:rPr>
          <w:b/>
        </w:rPr>
        <w:t>Normativa autonómica y normativa específica de Andalucía</w:t>
      </w:r>
    </w:p>
    <w:p>
      <w:pPr>
        <w:pStyle w:val="Normal"/>
        <w:numPr>
          <w:ilvl w:val="0"/>
          <w:numId w:val="29"/>
        </w:numPr>
        <w:spacing w:lineRule="auto" w:line="259" w:before="0" w:after="160"/>
        <w:jc w:val="both"/>
        <w:rPr>
          <w:i/>
          <w:i/>
        </w:rPr>
      </w:pPr>
      <w:r>
        <w:rPr>
          <w:i/>
        </w:rPr>
        <w:t xml:space="preserve">Decreto 147/2025, de 17 de septiembre de 2025, por el que se establece la ordenación de las enseñanzas de los Grados D y E del Sistema de Formación Profesional en la Comunidad Autónoma de Andalucía  </w:t>
      </w:r>
    </w:p>
    <w:p>
      <w:pPr>
        <w:pStyle w:val="Normal"/>
        <w:spacing w:lineRule="auto" w:line="259" w:before="0" w:after="160"/>
        <w:rPr/>
      </w:pPr>
      <w:r>
        <w:rPr/>
        <w:t xml:space="preserve">   </w:t>
      </w:r>
      <w:r>
        <w:rPr/>
        <w:t xml:space="preserve">- Objeto: ordenar las enseñanzas de los grados D (básico, medio, superior) y E (cursos de especialización).  </w:t>
      </w:r>
    </w:p>
    <w:p>
      <w:pPr>
        <w:pStyle w:val="Normal"/>
        <w:spacing w:lineRule="auto" w:line="259" w:before="0" w:after="160"/>
        <w:rPr/>
      </w:pPr>
      <w:r>
        <w:rPr/>
        <w:t xml:space="preserve">   </w:t>
      </w:r>
      <w:r>
        <w:rPr/>
        <w:t xml:space="preserve">- Ámbito de aplicación: todos los centros de FP en Andalucía que imparten grados D y E.  </w:t>
      </w:r>
    </w:p>
    <w:p>
      <w:pPr>
        <w:pStyle w:val="Normal"/>
        <w:spacing w:lineRule="auto" w:line="259" w:before="0" w:after="160"/>
        <w:rPr/>
      </w:pPr>
      <w:r>
        <w:rPr/>
        <w:t xml:space="preserve">   </w:t>
      </w:r>
      <w:r>
        <w:rPr/>
        <w:t xml:space="preserve">- Regula modalidades de oferta (completa y modular, diferenciada/complementaria), modalidad presencial/semipresencial/virtual, ordenamiento curricular, oferta modular, itinerarios, fase en empresa. [2]   </w:t>
      </w:r>
    </w:p>
    <w:p>
      <w:pPr>
        <w:pStyle w:val="Normal"/>
        <w:numPr>
          <w:ilvl w:val="0"/>
          <w:numId w:val="27"/>
        </w:numPr>
        <w:spacing w:lineRule="auto" w:line="259" w:before="0" w:after="160"/>
        <w:jc w:val="both"/>
        <w:rPr>
          <w:i/>
          <w:i/>
        </w:rPr>
      </w:pPr>
      <w:r>
        <w:rPr>
          <w:i/>
        </w:rPr>
        <w:t xml:space="preserve">Orden de 18 de septiembre de 2025, por la que se regula la evaluación, certificación, acreditación y titulación académica del alumnado que cursa enseñanzas de los grados D y E del Sistema de Formación Profesional en la Comunidad Autónoma de Andalucía  </w:t>
      </w:r>
    </w:p>
    <w:p>
      <w:pPr>
        <w:pStyle w:val="Normal"/>
        <w:spacing w:lineRule="auto" w:line="259" w:before="0" w:after="160"/>
        <w:rPr/>
      </w:pPr>
      <w:r>
        <w:rPr/>
        <w:t xml:space="preserve">   </w:t>
      </w:r>
      <w:r>
        <w:rPr/>
        <w:t>- Regula los procedimientos de evaluación, certificación, acreditación y titulación para los grados D y E en Andalucía.</w:t>
      </w:r>
    </w:p>
    <w:p>
      <w:pPr>
        <w:pStyle w:val="Normal"/>
        <w:spacing w:lineRule="auto" w:line="259" w:before="0" w:after="160"/>
        <w:rPr/>
      </w:pPr>
      <w:r>
        <w:rPr/>
        <w:t>Aporta la base estatutaria para que la Junta de Andalucía desarrolle sus propios decretos y normas educativas.</w:t>
      </w:r>
    </w:p>
    <w:p>
      <w:pPr>
        <w:pStyle w:val="Normal"/>
        <w:spacing w:lineRule="auto" w:line="259" w:before="0" w:after="160"/>
        <w:rPr/>
      </w:pPr>
      <w:r>
        <w:rPr/>
        <w:t>Es la norma autonómica que concreta cómo realizar las evaluaciones, cómo certificar los módulos profesionales, etc.</w:t>
      </w:r>
    </w:p>
    <w:p>
      <w:pPr>
        <w:pStyle w:val="Normal"/>
        <w:spacing w:lineRule="auto" w:line="259" w:before="0" w:after="160"/>
        <w:rPr/>
      </w:pPr>
      <w:r>
        <w:rPr/>
      </w:r>
    </w:p>
    <w:p>
      <w:pPr>
        <w:pStyle w:val="Normal"/>
        <w:numPr>
          <w:ilvl w:val="0"/>
          <w:numId w:val="26"/>
        </w:numPr>
        <w:spacing w:lineRule="auto" w:line="259"/>
        <w:jc w:val="both"/>
        <w:rPr>
          <w:i/>
          <w:i/>
        </w:rPr>
      </w:pPr>
      <w:r>
        <w:rPr>
          <w:i/>
        </w:rPr>
        <w:t xml:space="preserve">Orden de 26 de septiembre de 2025, por la que se regula la fase de formación en empresa u organismo equiparado de los grados D y E del Sistema de Formación Profesional de la Comunidad Autónoma de Andalucía. </w:t>
      </w:r>
    </w:p>
    <w:p>
      <w:pPr>
        <w:pStyle w:val="Normal"/>
        <w:numPr>
          <w:ilvl w:val="0"/>
          <w:numId w:val="26"/>
        </w:numPr>
        <w:spacing w:lineRule="auto" w:line="259" w:before="0" w:after="160"/>
        <w:jc w:val="both"/>
        <w:rPr>
          <w:i/>
          <w:i/>
        </w:rPr>
      </w:pPr>
      <w:r>
        <w:rPr>
          <w:i/>
        </w:rPr>
        <w:t xml:space="preserve">Resolución de 10 de julio de 2024, por la que se regulan los criterios y el procedimiento de admisión y matriculación para cursar los grados D y E del Sistema de Formación Profesional sostenidos con fondos públicos en Andalucía  </w:t>
      </w:r>
    </w:p>
    <w:p>
      <w:pPr>
        <w:pStyle w:val="Normal"/>
        <w:spacing w:lineRule="auto" w:line="259" w:before="0" w:after="160"/>
        <w:rPr/>
      </w:pPr>
      <w:r>
        <w:rPr/>
        <w:t xml:space="preserve">   </w:t>
      </w:r>
      <w:r>
        <w:rPr/>
        <w:t xml:space="preserve">- Establece los criterios para admisión y matriculación en FP grados D y E en Andalucía (plazo de matrícula, prioridad, criterios de desempate, etc.). [4]   </w:t>
      </w:r>
    </w:p>
    <w:p>
      <w:pPr>
        <w:pStyle w:val="Normal"/>
        <w:numPr>
          <w:ilvl w:val="0"/>
          <w:numId w:val="28"/>
        </w:numPr>
        <w:spacing w:lineRule="auto" w:line="259" w:before="0" w:after="160"/>
        <w:jc w:val="both"/>
        <w:rPr>
          <w:i/>
          <w:i/>
        </w:rPr>
      </w:pPr>
      <w:r>
        <w:rPr>
          <w:i/>
        </w:rPr>
        <w:t xml:space="preserve">Real Decreto 86/2025, de 11 de febrero, de evaluación y acreditación de las competencias básicas adquiridas por experiencia laboral, por vías no formales de formación y aprendizajes informales  </w:t>
      </w:r>
    </w:p>
    <w:p>
      <w:pPr>
        <w:pStyle w:val="Normal"/>
        <w:spacing w:lineRule="auto" w:line="259" w:before="0" w:after="160"/>
        <w:rPr/>
      </w:pPr>
      <w:r>
        <w:rPr/>
        <w:t xml:space="preserve">   </w:t>
      </w:r>
      <w:r>
        <w:rPr/>
        <w:t xml:space="preserve">- Tiene aplicación estatal, afecta a la posibilidad de que personas adultas que han adquirido competencias por experiencia laboral puedan acreditarlas.  </w:t>
      </w:r>
    </w:p>
    <w:p>
      <w:pPr>
        <w:pStyle w:val="Normal"/>
        <w:numPr>
          <w:ilvl w:val="0"/>
          <w:numId w:val="32"/>
        </w:numPr>
        <w:spacing w:lineRule="auto" w:line="259" w:before="0" w:after="160"/>
        <w:rPr/>
      </w:pPr>
      <w:r>
        <w:rPr/>
        <w:t xml:space="preserve">   </w:t>
      </w:r>
      <w:r>
        <w:rPr>
          <w:i/>
        </w:rPr>
        <w:t xml:space="preserve">Ley 17/2007, de 10 de diciembre, de Educación de Andalucía  </w:t>
      </w:r>
    </w:p>
    <w:p>
      <w:pPr>
        <w:pStyle w:val="Normal"/>
        <w:spacing w:lineRule="auto" w:line="259" w:before="0" w:after="160"/>
        <w:rPr/>
      </w:pPr>
      <w:r>
        <w:rPr/>
        <w:t xml:space="preserve">   </w:t>
      </w:r>
      <w:r>
        <w:rPr/>
        <w:t>- Marco autonómico que regula el sistema educativo en Andalucía, dentro del cual se inserta la FP en la comunidad.</w:t>
      </w:r>
    </w:p>
    <w:p>
      <w:pPr>
        <w:pStyle w:val="Normal"/>
        <w:spacing w:lineRule="auto" w:line="259" w:before="0" w:after="160"/>
        <w:rPr>
          <w:b/>
          <w:b/>
        </w:rPr>
      </w:pPr>
      <w:r>
        <w:rPr>
          <w:b/>
        </w:rPr>
        <w:t>Normativa específica del ciclo formativo de grado superior de Administración y Finanzas</w:t>
      </w:r>
    </w:p>
    <w:p>
      <w:pPr>
        <w:pStyle w:val="Normal"/>
        <w:spacing w:lineRule="auto" w:line="259" w:before="0" w:after="160"/>
        <w:rPr>
          <w:b/>
          <w:b/>
        </w:rPr>
      </w:pPr>
      <w:r>
        <w:rPr>
          <w:b/>
        </w:rPr>
        <w:t>Normativa estatal</w:t>
      </w:r>
    </w:p>
    <w:p>
      <w:pPr>
        <w:pStyle w:val="Normal"/>
        <w:numPr>
          <w:ilvl w:val="0"/>
          <w:numId w:val="34"/>
        </w:numPr>
        <w:spacing w:lineRule="auto" w:line="259" w:before="0" w:after="160"/>
        <w:rPr>
          <w:i/>
          <w:i/>
        </w:rPr>
      </w:pPr>
      <w:r>
        <w:rPr>
          <w:i/>
        </w:rPr>
        <w:t xml:space="preserve">Real Decreto 1584/2011, de 4 de noviembre  </w:t>
      </w:r>
    </w:p>
    <w:p>
      <w:pPr>
        <w:pStyle w:val="Normal"/>
        <w:spacing w:lineRule="auto" w:line="259" w:before="0" w:after="160"/>
        <w:rPr/>
      </w:pPr>
      <w:r>
        <w:rPr/>
        <w:t xml:space="preserve">  </w:t>
      </w:r>
      <w:r>
        <w:rPr/>
        <w:t xml:space="preserve">Por el que se establece el título de Técnico Superior en Administración y Finanzas y se fijan sus enseñanzas mínimas.  </w:t>
      </w:r>
    </w:p>
    <w:p>
      <w:pPr>
        <w:pStyle w:val="Normal"/>
        <w:spacing w:lineRule="auto" w:line="259" w:before="0" w:after="160"/>
        <w:rPr/>
      </w:pPr>
      <w:r>
        <w:rPr/>
        <w:t xml:space="preserve">  </w:t>
      </w:r>
      <w:r>
        <w:rPr/>
        <w:t xml:space="preserve">Publicado en BOE nº 274, 14 noviembre 2011.  </w:t>
      </w:r>
    </w:p>
    <w:p>
      <w:pPr>
        <w:pStyle w:val="Normal"/>
        <w:spacing w:lineRule="auto" w:line="360" w:before="120" w:after="0"/>
        <w:ind w:hanging="2"/>
        <w:jc w:val="both"/>
        <w:rPr>
          <w:color w:val="000000"/>
        </w:rPr>
      </w:pPr>
      <w:r>
        <w:rPr>
          <w:color w:val="000000"/>
        </w:rPr>
        <w:t>El título queda identificado por los siguientes elementos:</w:t>
      </w:r>
    </w:p>
    <w:p>
      <w:pPr>
        <w:pStyle w:val="Normal"/>
        <w:numPr>
          <w:ilvl w:val="0"/>
          <w:numId w:val="24"/>
        </w:numPr>
        <w:spacing w:lineRule="auto" w:line="360"/>
        <w:ind w:left="0" w:hanging="2"/>
        <w:jc w:val="both"/>
        <w:rPr>
          <w:color w:val="000000"/>
        </w:rPr>
      </w:pPr>
      <w:r>
        <w:rPr>
          <w:color w:val="000000"/>
        </w:rPr>
        <w:t>Denominación: Administración y Finanzas.</w:t>
      </w:r>
    </w:p>
    <w:p>
      <w:pPr>
        <w:pStyle w:val="Normal"/>
        <w:numPr>
          <w:ilvl w:val="0"/>
          <w:numId w:val="24"/>
        </w:numPr>
        <w:spacing w:lineRule="auto" w:line="360"/>
        <w:ind w:left="0" w:hanging="2"/>
        <w:jc w:val="both"/>
        <w:rPr>
          <w:color w:val="000000"/>
        </w:rPr>
      </w:pPr>
      <w:r>
        <w:rPr>
          <w:color w:val="000000"/>
        </w:rPr>
        <w:t>Nivel: Formación Profesional de Grado Superior.</w:t>
      </w:r>
    </w:p>
    <w:p>
      <w:pPr>
        <w:pStyle w:val="Normal"/>
        <w:numPr>
          <w:ilvl w:val="0"/>
          <w:numId w:val="24"/>
        </w:numPr>
        <w:pBdr/>
        <w:spacing w:lineRule="auto" w:line="360"/>
        <w:ind w:left="0" w:hanging="2"/>
        <w:jc w:val="both"/>
        <w:rPr>
          <w:color w:val="000000"/>
        </w:rPr>
      </w:pPr>
      <w:r>
        <w:rPr>
          <w:color w:val="000000"/>
        </w:rPr>
        <w:t>Duración: 2000 horas</w:t>
      </w:r>
    </w:p>
    <w:p>
      <w:pPr>
        <w:pStyle w:val="Normal"/>
        <w:numPr>
          <w:ilvl w:val="0"/>
          <w:numId w:val="24"/>
        </w:numPr>
        <w:spacing w:lineRule="auto" w:line="360"/>
        <w:ind w:left="0" w:hanging="2"/>
        <w:jc w:val="both"/>
        <w:rPr>
          <w:color w:val="000000"/>
        </w:rPr>
      </w:pPr>
      <w:r>
        <w:rPr>
          <w:color w:val="000000"/>
        </w:rPr>
        <w:t>Familia Profesional: Administración y Gestión.</w:t>
      </w:r>
    </w:p>
    <w:p>
      <w:pPr>
        <w:pStyle w:val="Normal"/>
        <w:numPr>
          <w:ilvl w:val="0"/>
          <w:numId w:val="24"/>
        </w:numPr>
        <w:spacing w:lineRule="auto" w:line="360"/>
        <w:ind w:left="0" w:hanging="2"/>
        <w:jc w:val="both"/>
        <w:rPr>
          <w:color w:val="000000"/>
        </w:rPr>
      </w:pPr>
      <w:r>
        <w:rPr>
          <w:color w:val="000000"/>
        </w:rPr>
        <w:t>Referente en la Clasificación Internacional Normalizada de la Educación: CINE-5b.</w:t>
      </w:r>
    </w:p>
    <w:p>
      <w:pPr>
        <w:pStyle w:val="Normal"/>
        <w:numPr>
          <w:ilvl w:val="0"/>
          <w:numId w:val="24"/>
        </w:numPr>
        <w:pBdr/>
        <w:spacing w:lineRule="auto" w:line="360"/>
        <w:ind w:left="0" w:hanging="2"/>
        <w:jc w:val="both"/>
        <w:rPr/>
      </w:pPr>
      <w:r>
        <w:rPr>
          <w:color w:val="000000"/>
        </w:rPr>
        <w:t xml:space="preserve">Nivel del Marco Español de Cualificaciones para la educación superior: Nivel 1 Técnico Superior. </w:t>
      </w:r>
      <w:r>
        <w:rPr>
          <w:rFonts w:eastAsia="Times New Roman"/>
          <w:b/>
          <w:bCs/>
          <w:color w:val="0A0A0A"/>
          <w:lang w:val="es-ES"/>
        </w:rPr>
        <w:t>Equivalencia europea</w:t>
      </w:r>
      <w:r>
        <w:rPr>
          <w:rFonts w:eastAsia="Times New Roman"/>
          <w:color w:val="0A0A0A"/>
          <w:lang w:val="es-ES"/>
        </w:rPr>
        <w:t>: Se corresponde con el Nivel 5 del Marco Europeo de Cualificaciones (EQF).</w:t>
      </w:r>
    </w:p>
    <w:p>
      <w:pPr>
        <w:pStyle w:val="Normal"/>
        <w:numPr>
          <w:ilvl w:val="0"/>
          <w:numId w:val="34"/>
        </w:numPr>
        <w:spacing w:lineRule="auto" w:line="259" w:before="0" w:after="160"/>
        <w:rPr>
          <w:i/>
          <w:i/>
        </w:rPr>
      </w:pPr>
      <w:r>
        <w:rPr>
          <w:i/>
        </w:rPr>
        <w:t xml:space="preserve">Orden ECD/308/2012, de 15 de febrero, </w:t>
      </w:r>
    </w:p>
    <w:p>
      <w:pPr>
        <w:pStyle w:val="Normal"/>
        <w:spacing w:lineRule="auto" w:line="259" w:before="0" w:after="160"/>
        <w:rPr/>
      </w:pPr>
      <w:r>
        <w:rPr/>
        <w:t>Por la que se establece el currículo del ciclo formativo de Grado Superior correspondiente al título de Técnico Superior en Administración y Finanzas.</w:t>
      </w:r>
    </w:p>
    <w:p>
      <w:pPr>
        <w:pStyle w:val="Normal"/>
        <w:spacing w:lineRule="auto" w:line="259" w:before="0" w:after="160"/>
        <w:rPr>
          <w:b/>
          <w:b/>
        </w:rPr>
      </w:pPr>
      <w:r>
        <w:rPr>
          <w:b/>
        </w:rPr>
        <w:t>Normativa autonómica (Andalucía)</w:t>
      </w:r>
    </w:p>
    <w:p>
      <w:pPr>
        <w:pStyle w:val="Normal"/>
        <w:numPr>
          <w:ilvl w:val="0"/>
          <w:numId w:val="30"/>
        </w:numPr>
        <w:spacing w:lineRule="auto" w:line="259" w:before="0" w:after="160"/>
        <w:jc w:val="both"/>
        <w:rPr>
          <w:i/>
          <w:i/>
        </w:rPr>
      </w:pPr>
      <w:r>
        <w:rPr>
          <w:i/>
        </w:rPr>
        <w:t xml:space="preserve">- Orden de 11 de marzo de 2013, de la Consejería de Educación, por la que se desarrolla el currículo correspondiente al título de Técnico Superior en Administración y Finanzas en Andalucía.  </w:t>
      </w:r>
    </w:p>
    <w:p>
      <w:pPr>
        <w:pStyle w:val="Normal"/>
        <w:spacing w:lineRule="auto" w:line="259" w:before="0" w:after="160"/>
        <w:rPr/>
      </w:pPr>
      <w:r>
        <w:rPr/>
        <w:t xml:space="preserve">  </w:t>
      </w:r>
      <w:r>
        <w:rPr/>
        <w:t xml:space="preserve">Publicada en BOJA nº 58, 25 de marzo de 2013.  </w:t>
      </w:r>
    </w:p>
    <w:p>
      <w:pPr>
        <w:pStyle w:val="Normal"/>
        <w:spacing w:lineRule="auto" w:line="259" w:before="0" w:after="160"/>
        <w:rPr/>
      </w:pPr>
      <w:r>
        <w:rPr/>
      </w:r>
    </w:p>
    <w:p>
      <w:pPr>
        <w:pStyle w:val="Ttulo5"/>
        <w:shd w:val="clear" w:color="auto" w:fill="FFFFFF"/>
        <w:spacing w:before="180" w:after="360"/>
        <w:ind w:left="960" w:right="960" w:hanging="818"/>
        <w:rPr>
          <w:rFonts w:ascii="Verdana" w:hAnsi="Verdana"/>
          <w:color w:val="000000"/>
          <w:sz w:val="26"/>
          <w:szCs w:val="26"/>
        </w:rPr>
      </w:pPr>
      <w:r>
        <w:rPr>
          <w:rFonts w:ascii="Verdana" w:hAnsi="Verdana"/>
          <w:color w:val="000000"/>
          <w:sz w:val="26"/>
          <w:szCs w:val="26"/>
        </w:rPr>
        <w:t>Adaptación de los créditos ECTS de este módulo son :13 ECTS</w:t>
      </w:r>
    </w:p>
    <w:p>
      <w:pPr>
        <w:pStyle w:val="Normal"/>
        <w:pBdr/>
        <w:spacing w:lineRule="auto" w:line="360"/>
        <w:ind w:hanging="2"/>
        <w:jc w:val="both"/>
        <w:rPr>
          <w:color w:val="000000"/>
        </w:rPr>
      </w:pPr>
      <w:r>
        <w:rPr>
          <w:color w:val="000000"/>
        </w:rPr>
      </w:r>
    </w:p>
    <w:p>
      <w:pPr>
        <w:pStyle w:val="Normal"/>
        <w:pBdr/>
        <w:spacing w:lineRule="auto" w:line="360"/>
        <w:ind w:hanging="2"/>
        <w:jc w:val="both"/>
        <w:rPr>
          <w:color w:val="000000"/>
        </w:rPr>
      </w:pPr>
      <w:r>
        <w:rPr>
          <w:color w:val="000000"/>
        </w:rPr>
        <w:t xml:space="preserve">La </w:t>
      </w:r>
      <w:r>
        <w:rPr>
          <w:b/>
          <w:smallCaps/>
          <w:color w:val="000000"/>
        </w:rPr>
        <w:t>competencia general</w:t>
      </w:r>
      <w:r>
        <w:rPr>
          <w:color w:val="000000"/>
        </w:rPr>
        <w:t xml:space="preserve"> del título consiste en «organizar y ejecutar las operaciones de gestión y administración en los procesos comerciales, laborales, contables, fiscales y financieros de una empresa pública o privada, aplicando la normativa vigente y los protocolos de gestión de calidad, gestionando la información, asegurando la satisfacción del cliente y/o usuario y actuando según las normas de prevención de riesgos laborales y protección medioambiental».</w:t>
      </w:r>
    </w:p>
    <w:p>
      <w:pPr>
        <w:pStyle w:val="Normal"/>
        <w:pBdr/>
        <w:spacing w:lineRule="auto" w:line="360"/>
        <w:ind w:hanging="2"/>
        <w:jc w:val="both"/>
        <w:rPr>
          <w:color w:val="000000"/>
        </w:rPr>
      </w:pPr>
      <w:r>
        <w:rPr>
          <w:color w:val="000000"/>
        </w:rPr>
        <w:t>El módulo</w:t>
      </w:r>
      <w:r>
        <w:rPr>
          <w:b/>
          <w:color w:val="000000"/>
        </w:rPr>
        <w:t xml:space="preserve"> COMUNICACIÓN Y ATENCIÓN AL CLIENTE, es el </w:t>
      </w:r>
      <w:r>
        <w:rPr>
          <w:color w:val="000000"/>
        </w:rPr>
        <w:t>objeto de esta programación</w:t>
      </w:r>
      <w:r>
        <w:rPr>
          <w:b/>
          <w:color w:val="000000"/>
        </w:rPr>
        <w:t xml:space="preserve"> con un horario lectivo semanal de 4 horas y </w:t>
      </w:r>
      <w:r>
        <w:rPr/>
        <w:t>se imparte en el primer curso del Ciclo Formativo de Grado Superior en Administración y Finanzas, enmarcado dentro de la familia profesional de Administración y Gestión. Grado D.</w:t>
      </w:r>
    </w:p>
    <w:tbl>
      <w:tblPr>
        <w:tblStyle w:val="afffffe"/>
        <w:tblW w:w="9638" w:type="dxa"/>
        <w:jc w:val="left"/>
        <w:tblInd w:w="2" w:type="dxa"/>
        <w:tblLayout w:type="fixed"/>
        <w:tblCellMar>
          <w:top w:w="55" w:type="dxa"/>
          <w:left w:w="55" w:type="dxa"/>
          <w:bottom w:w="55" w:type="dxa"/>
          <w:right w:w="55" w:type="dxa"/>
        </w:tblCellMar>
        <w:tblLook w:val="0000" w:noHBand="0" w:noVBand="0" w:firstColumn="0" w:lastRow="0" w:lastColumn="0" w:firstRow="0"/>
      </w:tblPr>
      <w:tblGrid>
        <w:gridCol w:w="3212"/>
        <w:gridCol w:w="3213"/>
        <w:gridCol w:w="3213"/>
      </w:tblGrid>
      <w:tr>
        <w:trPr/>
        <w:tc>
          <w:tcPr>
            <w:tcW w:w="3212" w:type="dxa"/>
            <w:tcBorders>
              <w:top w:val="single" w:sz="4" w:space="0" w:color="000000"/>
              <w:left w:val="single" w:sz="4" w:space="0" w:color="000000"/>
              <w:bottom w:val="single" w:sz="4" w:space="0" w:color="000000"/>
            </w:tcBorders>
            <w:shd w:color="auto" w:fill="DBEEF3" w:val="clear"/>
            <w:vAlign w:val="center"/>
          </w:tcPr>
          <w:p>
            <w:pPr>
              <w:pStyle w:val="Normal"/>
              <w:widowControl w:val="false"/>
              <w:pBdr/>
              <w:ind w:hanging="2"/>
              <w:jc w:val="center"/>
              <w:rPr>
                <w:rFonts w:ascii="Calibri" w:hAnsi="Calibri" w:eastAsia="Calibri" w:cs="Calibri"/>
                <w:color w:val="000000"/>
                <w:sz w:val="20"/>
                <w:szCs w:val="20"/>
              </w:rPr>
            </w:pPr>
            <w:r>
              <w:rPr>
                <w:rFonts w:eastAsia="Calibri" w:cs="Calibri" w:ascii="Calibri" w:hAnsi="Calibri"/>
                <w:color w:val="000000"/>
                <w:sz w:val="20"/>
                <w:szCs w:val="20"/>
              </w:rPr>
              <w:t>Módulo profesional</w:t>
            </w:r>
          </w:p>
        </w:tc>
        <w:tc>
          <w:tcPr>
            <w:tcW w:w="3213" w:type="dxa"/>
            <w:tcBorders>
              <w:top w:val="single" w:sz="4" w:space="0" w:color="000000"/>
              <w:left w:val="single" w:sz="4" w:space="0" w:color="000000"/>
              <w:bottom w:val="single" w:sz="4" w:space="0" w:color="000000"/>
            </w:tcBorders>
            <w:shd w:color="auto" w:fill="DBEEF3" w:val="clear"/>
            <w:vAlign w:val="center"/>
          </w:tcPr>
          <w:p>
            <w:pPr>
              <w:pStyle w:val="Normal"/>
              <w:widowControl w:val="false"/>
              <w:pBdr/>
              <w:ind w:hanging="2"/>
              <w:jc w:val="center"/>
              <w:rPr>
                <w:rFonts w:ascii="Calibri" w:hAnsi="Calibri" w:eastAsia="Calibri" w:cs="Calibri"/>
                <w:color w:val="000000"/>
                <w:sz w:val="20"/>
                <w:szCs w:val="20"/>
              </w:rPr>
            </w:pPr>
            <w:r>
              <w:rPr>
                <w:rFonts w:eastAsia="Calibri" w:cs="Calibri" w:ascii="Calibri" w:hAnsi="Calibri"/>
                <w:color w:val="000000"/>
                <w:sz w:val="20"/>
                <w:szCs w:val="20"/>
              </w:rPr>
              <w:t>Unidades de Competencia acreditables</w:t>
            </w:r>
          </w:p>
        </w:tc>
        <w:tc>
          <w:tcPr>
            <w:tcW w:w="3213" w:type="dxa"/>
            <w:tcBorders>
              <w:top w:val="single" w:sz="4" w:space="0" w:color="000000"/>
              <w:left w:val="single" w:sz="4" w:space="0" w:color="000000"/>
              <w:bottom w:val="single" w:sz="4" w:space="0" w:color="000000"/>
              <w:right w:val="single" w:sz="4" w:space="0" w:color="000000"/>
            </w:tcBorders>
            <w:shd w:color="auto" w:fill="DBEEF3" w:val="clear"/>
            <w:vAlign w:val="center"/>
          </w:tcPr>
          <w:p>
            <w:pPr>
              <w:pStyle w:val="Normal"/>
              <w:widowControl w:val="false"/>
              <w:pBdr/>
              <w:ind w:hanging="2"/>
              <w:jc w:val="center"/>
              <w:rPr>
                <w:rFonts w:ascii="Calibri" w:hAnsi="Calibri" w:eastAsia="Calibri" w:cs="Calibri"/>
                <w:color w:val="000000"/>
                <w:sz w:val="20"/>
                <w:szCs w:val="20"/>
              </w:rPr>
            </w:pPr>
            <w:r>
              <w:rPr>
                <w:rFonts w:eastAsia="Calibri" w:cs="Calibri" w:ascii="Calibri" w:hAnsi="Calibri"/>
                <w:color w:val="000000"/>
                <w:sz w:val="20"/>
                <w:szCs w:val="20"/>
              </w:rPr>
              <w:t>Cualificación profesional relacionada</w:t>
            </w:r>
          </w:p>
        </w:tc>
      </w:tr>
      <w:tr>
        <w:trPr>
          <w:cantSplit w:val="true"/>
        </w:trPr>
        <w:tc>
          <w:tcPr>
            <w:tcW w:w="3212" w:type="dxa"/>
            <w:vMerge w:val="restart"/>
            <w:tcBorders>
              <w:left w:val="single" w:sz="4" w:space="0" w:color="000000"/>
              <w:bottom w:val="single" w:sz="4" w:space="0" w:color="000000"/>
            </w:tcBorders>
            <w:vAlign w:val="center"/>
          </w:tcPr>
          <w:p>
            <w:pPr>
              <w:pStyle w:val="Normal"/>
              <w:widowControl w:val="false"/>
              <w:pBdr/>
              <w:ind w:hanging="2"/>
              <w:jc w:val="both"/>
              <w:rPr>
                <w:rFonts w:ascii="Calibri" w:hAnsi="Calibri" w:eastAsia="Calibri" w:cs="Calibri"/>
                <w:color w:val="000000"/>
                <w:sz w:val="20"/>
                <w:szCs w:val="20"/>
              </w:rPr>
            </w:pPr>
            <w:r>
              <w:rPr>
                <w:rFonts w:eastAsia="Calibri" w:cs="Calibri" w:ascii="Calibri" w:hAnsi="Calibri"/>
                <w:color w:val="000000"/>
                <w:sz w:val="20"/>
                <w:szCs w:val="20"/>
              </w:rPr>
              <w:t>Comunicación y Atención al Cliente</w:t>
            </w:r>
          </w:p>
        </w:tc>
        <w:tc>
          <w:tcPr>
            <w:tcW w:w="3213" w:type="dxa"/>
            <w:tcBorders>
              <w:left w:val="single" w:sz="4" w:space="0" w:color="000000"/>
              <w:bottom w:val="single" w:sz="4" w:space="0" w:color="000000"/>
            </w:tcBorders>
            <w:vAlign w:val="center"/>
          </w:tcPr>
          <w:p>
            <w:pPr>
              <w:pStyle w:val="Normal"/>
              <w:widowControl w:val="false"/>
              <w:pBdr/>
              <w:ind w:hanging="2"/>
              <w:jc w:val="both"/>
              <w:rPr>
                <w:rFonts w:ascii="Calibri" w:hAnsi="Calibri" w:eastAsia="Calibri" w:cs="Calibri"/>
                <w:color w:val="000000"/>
                <w:sz w:val="20"/>
                <w:szCs w:val="20"/>
              </w:rPr>
            </w:pPr>
            <w:r>
              <w:rPr>
                <w:rFonts w:eastAsia="Calibri" w:cs="Calibri" w:ascii="Calibri" w:hAnsi="Calibri"/>
                <w:color w:val="000000"/>
                <w:sz w:val="20"/>
                <w:szCs w:val="20"/>
              </w:rPr>
              <w:t>ECP0982_3 Gestionar las comunicaciones de la dirección</w:t>
            </w:r>
          </w:p>
        </w:tc>
        <w:tc>
          <w:tcPr>
            <w:tcW w:w="3213" w:type="dxa"/>
            <w:tcBorders>
              <w:left w:val="single" w:sz="4" w:space="0" w:color="000000"/>
              <w:bottom w:val="single" w:sz="4" w:space="0" w:color="000000"/>
              <w:right w:val="single" w:sz="4" w:space="0" w:color="000000"/>
            </w:tcBorders>
            <w:vAlign w:val="center"/>
          </w:tcPr>
          <w:p>
            <w:pPr>
              <w:pStyle w:val="Normal"/>
              <w:widowControl w:val="false"/>
              <w:pBdr/>
              <w:ind w:hanging="2"/>
              <w:jc w:val="both"/>
              <w:rPr>
                <w:rFonts w:ascii="Calibri" w:hAnsi="Calibri" w:eastAsia="Calibri" w:cs="Calibri"/>
                <w:color w:val="000000"/>
                <w:sz w:val="20"/>
                <w:szCs w:val="20"/>
              </w:rPr>
            </w:pPr>
            <w:r>
              <w:rPr>
                <w:rFonts w:eastAsia="Calibri" w:cs="Calibri" w:ascii="Calibri" w:hAnsi="Calibri"/>
                <w:color w:val="000000"/>
                <w:sz w:val="20"/>
                <w:szCs w:val="20"/>
              </w:rPr>
              <w:t>ADG310_3 Asistencia documental y de gestión en despachos y oficinas</w:t>
            </w:r>
          </w:p>
        </w:tc>
      </w:tr>
      <w:tr>
        <w:trPr>
          <w:cantSplit w:val="true"/>
        </w:trPr>
        <w:tc>
          <w:tcPr>
            <w:tcW w:w="3212" w:type="dxa"/>
            <w:vMerge w:val="continue"/>
            <w:tcBorders>
              <w:left w:val="single" w:sz="4" w:space="0" w:color="000000"/>
              <w:bottom w:val="single" w:sz="4" w:space="0" w:color="000000"/>
            </w:tcBorders>
            <w:vAlign w:val="center"/>
          </w:tcPr>
          <w:p>
            <w:pPr>
              <w:pStyle w:val="Normal"/>
              <w:widowControl w:val="false"/>
              <w:pBdr/>
              <w:spacing w:lineRule="auto" w:line="276"/>
              <w:ind w:hanging="0"/>
              <w:rPr>
                <w:rFonts w:ascii="Calibri" w:hAnsi="Calibri" w:eastAsia="Calibri" w:cs="Calibri"/>
                <w:color w:val="000000"/>
                <w:sz w:val="20"/>
                <w:szCs w:val="20"/>
              </w:rPr>
            </w:pPr>
            <w:r>
              <w:rPr>
                <w:rFonts w:eastAsia="Calibri" w:cs="Calibri" w:ascii="Calibri" w:hAnsi="Calibri"/>
                <w:color w:val="000000"/>
                <w:sz w:val="20"/>
                <w:szCs w:val="20"/>
              </w:rPr>
            </w:r>
          </w:p>
        </w:tc>
        <w:tc>
          <w:tcPr>
            <w:tcW w:w="3213" w:type="dxa"/>
            <w:tcBorders>
              <w:left w:val="single" w:sz="4" w:space="0" w:color="000000"/>
              <w:bottom w:val="single" w:sz="4" w:space="0" w:color="000000"/>
            </w:tcBorders>
            <w:vAlign w:val="center"/>
          </w:tcPr>
          <w:p>
            <w:pPr>
              <w:pStyle w:val="Normal"/>
              <w:widowControl w:val="false"/>
              <w:pBdr/>
              <w:ind w:hanging="2"/>
              <w:jc w:val="both"/>
              <w:rPr>
                <w:rFonts w:ascii="Calibri" w:hAnsi="Calibri" w:eastAsia="Calibri" w:cs="Calibri"/>
                <w:color w:val="000000"/>
                <w:sz w:val="20"/>
                <w:szCs w:val="20"/>
              </w:rPr>
            </w:pPr>
            <w:r>
              <w:rPr>
                <w:rFonts w:eastAsia="Calibri" w:cs="Calibri" w:ascii="Calibri" w:hAnsi="Calibri"/>
                <w:color w:val="000000"/>
                <w:sz w:val="20"/>
                <w:szCs w:val="20"/>
              </w:rPr>
            </w:r>
          </w:p>
        </w:tc>
        <w:tc>
          <w:tcPr>
            <w:tcW w:w="3213" w:type="dxa"/>
            <w:tcBorders>
              <w:left w:val="single" w:sz="4" w:space="0" w:color="000000"/>
              <w:bottom w:val="single" w:sz="4" w:space="0" w:color="000000"/>
              <w:right w:val="single" w:sz="4" w:space="0" w:color="000000"/>
            </w:tcBorders>
            <w:vAlign w:val="center"/>
          </w:tcPr>
          <w:p>
            <w:pPr>
              <w:pStyle w:val="Normal"/>
              <w:widowControl w:val="false"/>
              <w:pBdr/>
              <w:ind w:hanging="2"/>
              <w:jc w:val="both"/>
              <w:rPr>
                <w:rFonts w:ascii="Calibri" w:hAnsi="Calibri" w:eastAsia="Calibri" w:cs="Calibri"/>
                <w:color w:val="000000"/>
                <w:sz w:val="20"/>
                <w:szCs w:val="20"/>
              </w:rPr>
            </w:pPr>
            <w:r>
              <w:rPr>
                <w:rFonts w:eastAsia="Calibri" w:cs="Calibri" w:ascii="Calibri" w:hAnsi="Calibri"/>
                <w:color w:val="000000"/>
                <w:sz w:val="20"/>
                <w:szCs w:val="20"/>
              </w:rPr>
              <w:t>ADG309_3 Asistencia a la dirección.</w:t>
            </w:r>
          </w:p>
        </w:tc>
      </w:tr>
    </w:tbl>
    <w:p>
      <w:pPr>
        <w:pStyle w:val="Normal"/>
        <w:spacing w:lineRule="auto" w:line="360"/>
        <w:ind w:left="2" w:hanging="4"/>
        <w:jc w:val="both"/>
        <w:rPr>
          <w:sz w:val="36"/>
          <w:szCs w:val="36"/>
        </w:rPr>
      </w:pPr>
      <w:r>
        <w:rPr>
          <w:sz w:val="36"/>
          <w:szCs w:val="36"/>
        </w:rPr>
      </w:r>
    </w:p>
    <w:p>
      <w:pPr>
        <w:pStyle w:val="Normal"/>
        <w:spacing w:lineRule="auto" w:line="360"/>
        <w:ind w:left="2" w:hanging="4"/>
        <w:jc w:val="both"/>
        <w:rPr>
          <w:sz w:val="36"/>
          <w:szCs w:val="36"/>
        </w:rPr>
      </w:pPr>
      <w:r>
        <w:rPr>
          <w:sz w:val="36"/>
          <w:szCs w:val="36"/>
        </w:rPr>
        <w:t xml:space="preserve">Justificación  del instrumento Agenda </w:t>
      </w:r>
    </w:p>
    <w:p>
      <w:pPr>
        <w:pStyle w:val="Normal"/>
        <w:pBdr/>
        <w:spacing w:lineRule="auto" w:line="276" w:before="0" w:after="120"/>
        <w:ind w:hanging="2"/>
        <w:rPr>
          <w:color w:val="000000"/>
        </w:rPr>
      </w:pPr>
      <w:r>
        <w:rPr>
          <w:color w:val="000000"/>
        </w:rPr>
        <w:t>Ley Orgánica 3/2020 de 29 de diciembre, por la que se modifica la Ley Orgánica 2/20</w:t>
      </w:r>
      <w:r>
        <w:rPr/>
        <w:t>0</w:t>
      </w:r>
      <w:r>
        <w:rPr>
          <w:color w:val="000000"/>
        </w:rPr>
        <w:t>6, de 3 de mayo, de Educación.</w:t>
      </w:r>
    </w:p>
    <w:p>
      <w:pPr>
        <w:pStyle w:val="Normal"/>
        <w:pBdr/>
        <w:shd w:val="clear" w:color="auto" w:fill="FFFFFF"/>
        <w:spacing w:before="180" w:after="180"/>
        <w:ind w:hanging="2"/>
        <w:jc w:val="both"/>
        <w:rPr>
          <w:rFonts w:ascii="Times New Roman" w:hAnsi="Times New Roman" w:eastAsia="Times New Roman" w:cs="Times New Roman"/>
          <w:color w:val="000000"/>
        </w:rPr>
      </w:pPr>
      <w:r>
        <w:rPr>
          <w:rFonts w:eastAsia="Verdana" w:cs="Verdana" w:ascii="Verdana" w:hAnsi="Verdana"/>
          <w:b/>
          <w:color w:val="000000"/>
        </w:rPr>
        <w:t>Artículo 39.2</w:t>
      </w:r>
    </w:p>
    <w:p>
      <w:pPr>
        <w:pStyle w:val="Normal"/>
        <w:pBdr/>
        <w:shd w:val="clear" w:color="auto" w:fill="FFFFFF"/>
        <w:spacing w:before="180" w:after="180"/>
        <w:ind w:hanging="2"/>
        <w:jc w:val="both"/>
        <w:rPr>
          <w:color w:val="000000"/>
        </w:rPr>
      </w:pPr>
      <w:r>
        <w:rPr>
          <w:color w:val="000000"/>
          <w:highlight w:val="white"/>
        </w:rPr>
        <w:t xml:space="preserve">2. La Formación Profesional, en el sistema educativo, tiene por finalidad preparar al alumnado para la actividad en un campo profesional y facilitar su adaptación a las modificaciones laborales que pueden producirse a lo largo de su vida, </w:t>
      </w:r>
      <w:r>
        <w:rPr>
          <w:b/>
          <w:color w:val="000000"/>
          <w:highlight w:val="white"/>
        </w:rPr>
        <w:t>contribuir a su desarro</w:t>
      </w:r>
      <w:r>
        <w:rPr>
          <w:color w:val="000000"/>
          <w:highlight w:val="white"/>
        </w:rPr>
        <w:t xml:space="preserve">llo </w:t>
      </w:r>
      <w:r>
        <w:rPr>
          <w:b/>
          <w:color w:val="000000"/>
          <w:highlight w:val="white"/>
        </w:rPr>
        <w:t>personal</w:t>
      </w:r>
      <w:r>
        <w:rPr>
          <w:color w:val="000000"/>
          <w:highlight w:val="white"/>
        </w:rPr>
        <w:t xml:space="preserve"> y al ejercicio de una ciudadanía democrática y pacífica, y permitir su progresión en el sistema educativo, en el marco del aprendizaje a lo largo de la vida.</w:t>
      </w:r>
    </w:p>
    <w:p>
      <w:pPr>
        <w:pStyle w:val="Normal"/>
        <w:pBdr/>
        <w:spacing w:before="360" w:after="180"/>
        <w:ind w:hanging="2"/>
        <w:rPr>
          <w:rFonts w:ascii="Times New Roman" w:hAnsi="Times New Roman" w:eastAsia="Times New Roman" w:cs="Times New Roman"/>
          <w:color w:val="000000"/>
        </w:rPr>
      </w:pPr>
      <w:r>
        <w:rPr>
          <w:rFonts w:eastAsia="Verdana" w:cs="Verdana" w:ascii="Verdana" w:hAnsi="Verdana"/>
          <w:b/>
          <w:color w:val="000000"/>
        </w:rPr>
        <w:t>Artículo 40. Objetivos.</w:t>
      </w:r>
    </w:p>
    <w:p>
      <w:pPr>
        <w:pStyle w:val="Normal"/>
        <w:pBdr/>
        <w:spacing w:before="180" w:after="180"/>
        <w:ind w:hanging="2"/>
        <w:jc w:val="both"/>
        <w:rPr>
          <w:color w:val="000000"/>
        </w:rPr>
      </w:pPr>
      <w:r>
        <w:rPr>
          <w:rFonts w:eastAsia="Verdana" w:cs="Verdana" w:ascii="Verdana" w:hAnsi="Verdana"/>
          <w:color w:val="000000"/>
        </w:rPr>
        <w:t>1</w:t>
      </w:r>
      <w:r>
        <w:rPr>
          <w:color w:val="000000"/>
        </w:rPr>
        <w:t>. La Formación Profesional en el sistema educativo contribuirá a que el alumnado consiga los resultados de aprendizaje que le permitan:</w:t>
      </w:r>
    </w:p>
    <w:p>
      <w:pPr>
        <w:pStyle w:val="Normal"/>
        <w:pBdr/>
        <w:spacing w:before="180" w:after="180"/>
        <w:ind w:hanging="2"/>
        <w:jc w:val="both"/>
        <w:rPr>
          <w:color w:val="000000"/>
        </w:rPr>
      </w:pPr>
      <w:r>
        <w:rPr>
          <w:color w:val="000000"/>
        </w:rPr>
        <w:t>d) Aprender por sí mismos y trabajar en equipo, así como formarse en la prevención de conflictos y en la resolución pacífica de los mismos en todos los ámbitos de la vida personal, familiar y social, con especial atención a la prevención de la violencia de género.</w:t>
      </w:r>
    </w:p>
    <w:p>
      <w:pPr>
        <w:pStyle w:val="Normal"/>
        <w:pBdr/>
        <w:spacing w:before="180" w:after="180"/>
        <w:ind w:hanging="2"/>
        <w:jc w:val="both"/>
        <w:rPr>
          <w:color w:val="000000"/>
        </w:rPr>
      </w:pPr>
      <w:r>
        <w:rPr>
          <w:color w:val="000000"/>
        </w:rPr>
        <w:t>f) Trabajar en condiciones de seguridad y salud, así como prevenir los posibles riesgos derivados del trabajo.</w:t>
      </w:r>
    </w:p>
    <w:p>
      <w:pPr>
        <w:pStyle w:val="Normal"/>
        <w:pBdr/>
        <w:spacing w:before="180" w:after="180"/>
        <w:ind w:hanging="2"/>
        <w:jc w:val="both"/>
        <w:rPr>
          <w:color w:val="000000"/>
        </w:rPr>
      </w:pPr>
      <w:r>
        <w:rPr>
          <w:color w:val="000000"/>
        </w:rPr>
        <w:t>g) Desarrollar una identidad profesional motivadora de futuros aprendizajes y adaptaciones a la evolución de los procesos productivos y al cambio social.</w:t>
      </w:r>
    </w:p>
    <w:p>
      <w:pPr>
        <w:pStyle w:val="Normal"/>
        <w:pBdr/>
        <w:spacing w:before="180" w:after="180"/>
        <w:ind w:hanging="2"/>
        <w:jc w:val="both"/>
        <w:rPr>
          <w:color w:val="000000"/>
        </w:rPr>
      </w:pPr>
      <w:r>
        <w:rPr>
          <w:color w:val="000000"/>
        </w:rPr>
        <w:t>h) Desarrollar las competencias de innovación y emprendimiento que favorezcan su empleabilidad y desarrollo profesional</w:t>
      </w:r>
    </w:p>
    <w:p>
      <w:pPr>
        <w:pStyle w:val="Normal"/>
        <w:pBdr/>
        <w:spacing w:before="180" w:after="180"/>
        <w:ind w:hanging="2"/>
        <w:jc w:val="both"/>
        <w:rPr>
          <w:color w:val="000000"/>
        </w:rPr>
      </w:pPr>
      <w:r>
        <w:rPr>
          <w:color w:val="000000"/>
        </w:rPr>
        <w:t>i) Preparar al alumnado para su progresión en el sistema educativo.</w:t>
      </w:r>
    </w:p>
    <w:p>
      <w:pPr>
        <w:pStyle w:val="Normal"/>
        <w:pBdr/>
        <w:shd w:val="clear" w:color="auto" w:fill="FFFFFF"/>
        <w:ind w:hanging="2"/>
        <w:jc w:val="both"/>
        <w:rPr>
          <w:rFonts w:ascii="Times New Roman" w:hAnsi="Times New Roman" w:eastAsia="Times New Roman" w:cs="Times New Roman"/>
          <w:color w:val="000000"/>
        </w:rPr>
      </w:pPr>
      <w:r>
        <w:rPr>
          <w:rFonts w:eastAsia="Verdana" w:cs="Verdana" w:ascii="Verdana" w:hAnsi="Verdana"/>
          <w:b/>
          <w:color w:val="000000"/>
          <w:highlight w:val="white"/>
        </w:rPr>
        <w:t>Ley Orgánica 3/2022 de 31 de marzo de Ordenación e integración de la FP</w:t>
      </w:r>
      <w:r>
        <w:rPr>
          <w:rFonts w:eastAsia="Verdana" w:cs="Verdana" w:ascii="Verdana" w:hAnsi="Verdana"/>
          <w:b/>
          <w:color w:val="000000"/>
        </w:rPr>
        <w:t>.</w:t>
      </w:r>
    </w:p>
    <w:p>
      <w:pPr>
        <w:pStyle w:val="Normal"/>
        <w:pBdr/>
        <w:shd w:val="clear" w:color="auto" w:fill="FFFFFF"/>
        <w:ind w:hanging="2"/>
        <w:jc w:val="both"/>
        <w:rPr>
          <w:rFonts w:ascii="Times New Roman" w:hAnsi="Times New Roman" w:eastAsia="Times New Roman" w:cs="Times New Roman"/>
          <w:color w:val="000000"/>
        </w:rPr>
      </w:pPr>
      <w:r>
        <w:rPr>
          <w:rFonts w:eastAsia="Verdana" w:cs="Verdana" w:ascii="Verdana" w:hAnsi="Verdana"/>
          <w:b/>
          <w:color w:val="000000"/>
          <w:highlight w:val="white"/>
        </w:rPr>
        <w:t>Artículo 2</w:t>
      </w:r>
    </w:p>
    <w:p>
      <w:pPr>
        <w:pStyle w:val="Normal"/>
        <w:pBdr/>
        <w:spacing w:before="180" w:after="180"/>
        <w:ind w:hanging="2"/>
        <w:jc w:val="both"/>
        <w:rPr>
          <w:color w:val="000000"/>
        </w:rPr>
      </w:pPr>
      <w:r>
        <w:rPr>
          <w:color w:val="000000"/>
        </w:rPr>
        <w:t xml:space="preserve">4. Competencias básicas: aquellas que son consideradas necesarias para la realización y </w:t>
      </w:r>
      <w:r>
        <w:rPr>
          <w:b/>
          <w:color w:val="000000"/>
        </w:rPr>
        <w:t>desarrollo personal</w:t>
      </w:r>
      <w:r>
        <w:rPr>
          <w:color w:val="000000"/>
        </w:rPr>
        <w:t xml:space="preserve">, para participar activamente en la sociedad o mejorar la empleabilidad. El desarrollo de estas competencias se realiza por múltiples vías, y queda incorporado en cualquier oferta de formación profesional en tanto que </w:t>
      </w:r>
      <w:r>
        <w:rPr>
          <w:b/>
          <w:color w:val="000000"/>
        </w:rPr>
        <w:t>promueve el desarrollo integral de la persona.</w:t>
      </w:r>
    </w:p>
    <w:p>
      <w:pPr>
        <w:pStyle w:val="Normal"/>
        <w:pBdr/>
        <w:spacing w:before="180" w:after="180"/>
        <w:ind w:hanging="2"/>
        <w:jc w:val="both"/>
        <w:rPr>
          <w:rFonts w:ascii="Times New Roman" w:hAnsi="Times New Roman" w:eastAsia="Times New Roman" w:cs="Times New Roman"/>
          <w:color w:val="000000"/>
        </w:rPr>
      </w:pPr>
      <w:r>
        <w:rPr>
          <w:rFonts w:eastAsia="Times New Roman" w:cs="Times New Roman" w:ascii="Times New Roman" w:hAnsi="Times New Roman"/>
          <w:color w:val="000000"/>
        </w:rPr>
      </w:r>
    </w:p>
    <w:p>
      <w:pPr>
        <w:pStyle w:val="Normal"/>
        <w:keepNext w:val="true"/>
        <w:numPr>
          <w:ilvl w:val="0"/>
          <w:numId w:val="10"/>
        </w:numPr>
        <w:spacing w:before="120" w:after="120"/>
        <w:ind w:left="0" w:hanging="2"/>
        <w:jc w:val="both"/>
        <w:rPr>
          <w:rFonts w:ascii="Times New Roman" w:hAnsi="Times New Roman" w:eastAsia="Times New Roman" w:cs="Times New Roman"/>
        </w:rPr>
      </w:pPr>
      <w:r>
        <w:rPr>
          <w:rFonts w:eastAsia="Times New Roman" w:cs="Times New Roman" w:ascii="Times New Roman" w:hAnsi="Times New Roman"/>
          <w:b/>
        </w:rPr>
        <w:t>CONTEXTUALIZACIÓN, NIVEL EDUCATIVO, CARACTERÍSTICAS DEL CENTRO</w:t>
      </w:r>
    </w:p>
    <w:p>
      <w:pPr>
        <w:pStyle w:val="Normal"/>
        <w:keepNext w:val="true"/>
        <w:spacing w:before="120" w:after="120"/>
        <w:ind w:hanging="2"/>
        <w:jc w:val="both"/>
        <w:rPr>
          <w:rFonts w:ascii="Times New Roman" w:hAnsi="Times New Roman" w:eastAsia="Times New Roman" w:cs="Times New Roman"/>
        </w:rPr>
      </w:pPr>
      <w:r>
        <w:rPr>
          <w:rFonts w:eastAsia="Times New Roman" w:cs="Times New Roman" w:ascii="Times New Roman" w:hAnsi="Times New Roman"/>
          <w:b/>
        </w:rPr>
        <w:t>Contexto general:</w:t>
      </w:r>
    </w:p>
    <w:p>
      <w:pPr>
        <w:pStyle w:val="Normal"/>
        <w:spacing w:lineRule="auto" w:line="360"/>
        <w:ind w:hanging="2"/>
        <w:jc w:val="both"/>
        <w:rPr>
          <w:color w:val="000000"/>
          <w:highlight w:val="white"/>
        </w:rPr>
      </w:pPr>
      <w:r>
        <w:rPr>
          <w:color w:val="000000"/>
          <w:highlight w:val="white"/>
        </w:rPr>
        <w:t>El lES El Argar es un centro donde se reúnen las enseñanzas propias de ESO, Bachillerato, FPB y FP específica. Es centro bilingüe de ALEMÁN e inglés o francés de 2º idioma en ESO y no bilingüe en ALEMÁN con inglés primer idioma y optativa de francés 2º idioma</w:t>
      </w:r>
    </w:p>
    <w:p>
      <w:pPr>
        <w:pStyle w:val="Normal"/>
        <w:spacing w:lineRule="auto" w:line="360"/>
        <w:ind w:hanging="2"/>
        <w:jc w:val="both"/>
        <w:rPr>
          <w:rFonts w:ascii="Verdana" w:hAnsi="Verdana" w:eastAsia="Verdana" w:cs="Verdana"/>
          <w:color w:val="000000"/>
          <w:highlight w:val="white"/>
        </w:rPr>
      </w:pPr>
      <w:r>
        <w:rPr>
          <w:color w:val="000000"/>
          <w:highlight w:val="white"/>
        </w:rPr>
        <w:t xml:space="preserve">Con un alumnado que presenta diferente idiosincrasia tanto en lo que respecta a su procedencia, como a sus expectativas e intereses. No es, pues, posible hablar de un entorno especialmente definido. Por lo general, se trata de un alumnado que está más preocupado por conseguir una titulación que le permita incorporarse pronto al mercado laboral con una cierta cualificación, que por continuar formando parte del sistema educativo. Ello explicaría por sí mismo el porcentaje de absentismo y de bajas que se viene produciendo en este nivel. Por otra parte, los alumnos que se incorporan a los CCFF de GS, que ya han cursado el Bachillerato y en muchos casos han cursado previamente estudios universitarios, presentan una mayor preocupación por su formación académica. Mención aparte merece el resto de los niveles. La ESO recibe alumnos fundamentalmente de dos colegios públicos: Juan Ramón Jiménez y Santa Isabel adscritos al 100%, así como alumnos procedentes del CP Ave María del Quemadero. El Bachillerato se nutre, a su vez, de estos mismos alumnos, pero también proceden muchos de pueblos limítrofes: Huércal, Viator... En cualquier caso gran parte de la zona de residencia de nuestros estudiantes (Fuentecica, Quemadero, Los Ángeles) presentan una población trabajadora de nivel económico y cultural medio-bajo, con no pocas situaciones claramente desfavorecidas desde el punto de vista social, (sobre todo en el caso del primero de los barrios citados). </w:t>
      </w:r>
    </w:p>
    <w:p>
      <w:pPr>
        <w:pStyle w:val="Normal"/>
        <w:spacing w:before="0" w:after="120"/>
        <w:ind w:hanging="2"/>
        <w:rPr/>
      </w:pPr>
      <w:r>
        <w:rPr/>
        <w:t xml:space="preserve">Los programas, planes que se desarrollan son: </w:t>
      </w:r>
    </w:p>
    <w:p>
      <w:pPr>
        <w:pStyle w:val="Normal"/>
        <w:numPr>
          <w:ilvl w:val="0"/>
          <w:numId w:val="14"/>
        </w:numPr>
        <w:pBdr/>
        <w:spacing w:lineRule="auto" w:line="276"/>
        <w:jc w:val="both"/>
        <w:rPr>
          <w:color w:val="0070C0"/>
        </w:rPr>
      </w:pPr>
      <w:r>
        <w:rPr>
          <w:color w:val="000000"/>
        </w:rPr>
        <w:t xml:space="preserve">Calidad ISO 9001 </w:t>
      </w:r>
    </w:p>
    <w:p>
      <w:pPr>
        <w:pStyle w:val="Normal"/>
        <w:numPr>
          <w:ilvl w:val="0"/>
          <w:numId w:val="14"/>
        </w:numPr>
        <w:pBdr/>
        <w:spacing w:lineRule="auto" w:line="276"/>
        <w:jc w:val="both"/>
        <w:rPr>
          <w:color w:val="0070C0"/>
        </w:rPr>
      </w:pPr>
      <w:r>
        <w:rPr>
          <w:color w:val="000000"/>
        </w:rPr>
        <w:t xml:space="preserve">Ohsas  Seguridad laboral18001 </w:t>
      </w:r>
    </w:p>
    <w:p>
      <w:pPr>
        <w:pStyle w:val="Normal"/>
        <w:numPr>
          <w:ilvl w:val="0"/>
          <w:numId w:val="14"/>
        </w:numPr>
        <w:pBdr/>
        <w:spacing w:lineRule="auto" w:line="276"/>
        <w:jc w:val="both"/>
        <w:rPr>
          <w:color w:val="0070C0"/>
        </w:rPr>
      </w:pPr>
      <w:r>
        <w:rPr>
          <w:color w:val="000000"/>
        </w:rPr>
        <w:t>Bilingüismo Centro bilingüe de alemán</w:t>
      </w:r>
    </w:p>
    <w:p>
      <w:pPr>
        <w:pStyle w:val="Normal"/>
        <w:numPr>
          <w:ilvl w:val="0"/>
          <w:numId w:val="14"/>
        </w:numPr>
        <w:pBdr/>
        <w:spacing w:lineRule="auto" w:line="276"/>
        <w:jc w:val="both"/>
        <w:rPr>
          <w:color w:val="0070C0"/>
        </w:rPr>
      </w:pPr>
      <w:r>
        <w:rPr>
          <w:color w:val="000000"/>
        </w:rPr>
        <w:t xml:space="preserve">Escuela TIC 2.0 / Transformación Digital Educativa </w:t>
      </w:r>
    </w:p>
    <w:p>
      <w:pPr>
        <w:pStyle w:val="Normal"/>
        <w:numPr>
          <w:ilvl w:val="0"/>
          <w:numId w:val="14"/>
        </w:numPr>
        <w:pBdr/>
        <w:spacing w:lineRule="auto" w:line="276"/>
        <w:jc w:val="both"/>
        <w:rPr>
          <w:color w:val="0070C0"/>
        </w:rPr>
      </w:pPr>
      <w:r>
        <w:rPr>
          <w:color w:val="000000"/>
        </w:rPr>
        <w:t>Escuela espacio de paz</w:t>
      </w:r>
    </w:p>
    <w:p>
      <w:pPr>
        <w:pStyle w:val="Normal"/>
        <w:numPr>
          <w:ilvl w:val="0"/>
          <w:numId w:val="14"/>
        </w:numPr>
        <w:pBdr/>
        <w:spacing w:lineRule="auto" w:line="276"/>
        <w:jc w:val="both"/>
        <w:rPr>
          <w:color w:val="0070C0"/>
        </w:rPr>
      </w:pPr>
      <w:r>
        <w:rPr>
          <w:color w:val="000000"/>
        </w:rPr>
        <w:t>Plan de Igualdad entre Hombres y Mujeres.</w:t>
      </w:r>
    </w:p>
    <w:p>
      <w:pPr>
        <w:pStyle w:val="Normal"/>
        <w:numPr>
          <w:ilvl w:val="0"/>
          <w:numId w:val="14"/>
        </w:numPr>
        <w:pBdr/>
        <w:spacing w:lineRule="auto" w:line="276"/>
        <w:jc w:val="both"/>
        <w:rPr>
          <w:color w:val="0070C0"/>
        </w:rPr>
      </w:pPr>
      <w:r>
        <w:rPr>
          <w:color w:val="000000"/>
        </w:rPr>
        <w:t>Plan de convivencia</w:t>
      </w:r>
    </w:p>
    <w:p>
      <w:pPr>
        <w:pStyle w:val="Normal"/>
        <w:numPr>
          <w:ilvl w:val="0"/>
          <w:numId w:val="14"/>
        </w:numPr>
        <w:pBdr/>
        <w:spacing w:lineRule="auto" w:line="276"/>
        <w:jc w:val="both"/>
        <w:rPr>
          <w:color w:val="0070C0"/>
        </w:rPr>
      </w:pPr>
      <w:r>
        <w:rPr>
          <w:color w:val="000000"/>
        </w:rPr>
        <w:t xml:space="preserve">Plan de apertura del centro: P.R.O.A. </w:t>
      </w:r>
    </w:p>
    <w:p>
      <w:pPr>
        <w:pStyle w:val="Normal"/>
        <w:numPr>
          <w:ilvl w:val="0"/>
          <w:numId w:val="14"/>
        </w:numPr>
        <w:pBdr/>
        <w:spacing w:lineRule="auto" w:line="276"/>
        <w:jc w:val="both"/>
        <w:rPr>
          <w:color w:val="0070C0"/>
        </w:rPr>
      </w:pPr>
      <w:r>
        <w:rPr>
          <w:color w:val="000000"/>
        </w:rPr>
        <w:t xml:space="preserve">Plan de Bibliotecas escolares </w:t>
      </w:r>
    </w:p>
    <w:p>
      <w:pPr>
        <w:pStyle w:val="Normal"/>
        <w:numPr>
          <w:ilvl w:val="0"/>
          <w:numId w:val="14"/>
        </w:numPr>
        <w:pBdr/>
        <w:spacing w:lineRule="auto" w:line="276"/>
        <w:jc w:val="both"/>
        <w:rPr>
          <w:color w:val="0070C0"/>
        </w:rPr>
      </w:pPr>
      <w:r>
        <w:rPr>
          <w:color w:val="000000"/>
        </w:rPr>
        <w:t>Erasmus+FP Grado Medio</w:t>
      </w:r>
    </w:p>
    <w:p>
      <w:pPr>
        <w:pStyle w:val="Normal"/>
        <w:numPr>
          <w:ilvl w:val="0"/>
          <w:numId w:val="14"/>
        </w:numPr>
        <w:pBdr/>
        <w:spacing w:lineRule="auto" w:line="276"/>
        <w:jc w:val="both"/>
        <w:rPr>
          <w:color w:val="0070C0"/>
        </w:rPr>
      </w:pPr>
      <w:r>
        <w:rPr>
          <w:color w:val="000000"/>
        </w:rPr>
        <w:t>Erasmus+FP Grado Superior</w:t>
      </w:r>
    </w:p>
    <w:p>
      <w:pPr>
        <w:pStyle w:val="Normal"/>
        <w:numPr>
          <w:ilvl w:val="0"/>
          <w:numId w:val="14"/>
        </w:numPr>
        <w:pBdr/>
        <w:spacing w:lineRule="auto" w:line="276"/>
        <w:jc w:val="both"/>
        <w:rPr>
          <w:color w:val="0070C0"/>
        </w:rPr>
      </w:pPr>
      <w:r>
        <w:rPr>
          <w:color w:val="000000"/>
        </w:rPr>
        <w:t>CIMA</w:t>
      </w:r>
    </w:p>
    <w:p>
      <w:pPr>
        <w:pStyle w:val="Normal"/>
        <w:numPr>
          <w:ilvl w:val="0"/>
          <w:numId w:val="14"/>
        </w:numPr>
        <w:pBdr/>
        <w:spacing w:lineRule="auto" w:line="276" w:before="0" w:after="60"/>
        <w:jc w:val="both"/>
        <w:rPr>
          <w:color w:val="0070C0"/>
        </w:rPr>
      </w:pPr>
      <w:r>
        <w:rPr>
          <w:color w:val="000000"/>
        </w:rPr>
        <w:t xml:space="preserve">Prácticum Máster Secundaria </w:t>
      </w:r>
    </w:p>
    <w:p>
      <w:pPr>
        <w:pStyle w:val="Normal"/>
        <w:keepNext w:val="true"/>
        <w:spacing w:before="120" w:after="120"/>
        <w:ind w:left="1" w:hanging="3"/>
        <w:jc w:val="both"/>
        <w:rPr>
          <w:rFonts w:ascii="Times New Roman" w:hAnsi="Times New Roman" w:eastAsia="Times New Roman" w:cs="Times New Roman"/>
          <w:b/>
          <w:b/>
          <w:sz w:val="32"/>
          <w:szCs w:val="32"/>
        </w:rPr>
      </w:pPr>
      <w:r>
        <w:rPr>
          <w:rFonts w:eastAsia="Times New Roman" w:cs="Times New Roman" w:ascii="Times New Roman" w:hAnsi="Times New Roman"/>
          <w:b/>
          <w:sz w:val="32"/>
          <w:szCs w:val="32"/>
        </w:rPr>
        <w:t>Contexto de actuación:</w:t>
      </w:r>
    </w:p>
    <w:p>
      <w:pPr>
        <w:pStyle w:val="Normal"/>
        <w:ind w:hanging="2"/>
        <w:rPr>
          <w:color w:val="000000"/>
        </w:rPr>
      </w:pPr>
      <w:r>
        <w:rPr>
          <w:color w:val="000000"/>
        </w:rPr>
        <w:t>Características de cada grupo:</w:t>
      </w:r>
    </w:p>
    <w:p>
      <w:pPr>
        <w:pStyle w:val="Normal"/>
        <w:spacing w:lineRule="auto" w:line="360"/>
        <w:ind w:hanging="2"/>
        <w:rPr>
          <w:color w:val="000000"/>
        </w:rPr>
      </w:pPr>
      <w:r>
        <w:rPr>
          <w:b/>
          <w:color w:val="000000"/>
        </w:rPr>
        <w:t>1º AFI A:</w:t>
      </w:r>
      <w:r>
        <w:rPr>
          <w:b/>
        </w:rPr>
        <w:t xml:space="preserve"> Total 26 discentes:</w:t>
      </w:r>
    </w:p>
    <w:p>
      <w:pPr>
        <w:pStyle w:val="Normal"/>
        <w:ind w:hanging="2"/>
        <w:rPr/>
      </w:pPr>
      <w:r>
        <w:rPr/>
        <w:t>Alumnado por sexo: : alumnas 16; alumnos 10</w:t>
      </w:r>
    </w:p>
    <w:p>
      <w:pPr>
        <w:pStyle w:val="Normal"/>
        <w:ind w:hanging="2"/>
        <w:rPr/>
      </w:pPr>
      <w:r>
        <w:rPr/>
        <w:t>Alumnado inmigrante con dificultades con el idioma.0</w:t>
      </w:r>
    </w:p>
    <w:p>
      <w:pPr>
        <w:pStyle w:val="Normal"/>
        <w:ind w:hanging="2"/>
        <w:rPr/>
      </w:pPr>
      <w:r>
        <w:rPr/>
        <w:t>Alumnado repetidor:1 alumno ya cuantificado</w:t>
      </w:r>
    </w:p>
    <w:p>
      <w:pPr>
        <w:pStyle w:val="Normal"/>
        <w:ind w:hanging="2"/>
        <w:rPr/>
      </w:pPr>
      <w:r>
        <w:rPr/>
        <w:t>Alumnado con diversidad funcional física: 1 JRR</w:t>
      </w:r>
    </w:p>
    <w:p>
      <w:pPr>
        <w:pStyle w:val="Normal"/>
        <w:spacing w:lineRule="auto" w:line="360"/>
        <w:ind w:hanging="2"/>
        <w:rPr>
          <w:color w:val="000000"/>
        </w:rPr>
      </w:pPr>
      <w:r>
        <w:rPr>
          <w:b/>
          <w:color w:val="000000"/>
        </w:rPr>
        <w:t>1º AFI B:</w:t>
      </w:r>
      <w:r>
        <w:rPr>
          <w:b/>
        </w:rPr>
        <w:t xml:space="preserve"> Total 27 discentes:</w:t>
      </w:r>
    </w:p>
    <w:p>
      <w:pPr>
        <w:pStyle w:val="Normal"/>
        <w:ind w:hanging="2"/>
        <w:rPr/>
      </w:pPr>
      <w:r>
        <w:rPr/>
        <w:t>Alumnado por sexo: : alumnas 18; alumnos 9</w:t>
      </w:r>
    </w:p>
    <w:p>
      <w:pPr>
        <w:pStyle w:val="Normal"/>
        <w:ind w:hanging="2"/>
        <w:rPr/>
      </w:pPr>
      <w:r>
        <w:rPr/>
        <w:t>Alumnado inmigrante con dificultades con el idioma.0</w:t>
      </w:r>
    </w:p>
    <w:p>
      <w:pPr>
        <w:pStyle w:val="Normal"/>
        <w:ind w:hanging="2"/>
        <w:rPr/>
      </w:pPr>
      <w:r>
        <w:rPr/>
        <w:t>Alumnado repetidor:0</w:t>
      </w:r>
    </w:p>
    <w:p>
      <w:pPr>
        <w:pStyle w:val="Normal"/>
        <w:spacing w:lineRule="auto" w:line="276" w:before="0" w:after="60"/>
        <w:ind w:hanging="0"/>
        <w:jc w:val="both"/>
        <w:rPr/>
      </w:pPr>
      <w:r>
        <w:rPr/>
        <w:t>Alumnado NEAE :0 según informe de la orientadora del centro</w:t>
      </w:r>
    </w:p>
    <w:p>
      <w:pPr>
        <w:pStyle w:val="Normal"/>
        <w:spacing w:lineRule="auto" w:line="276" w:before="0" w:after="60"/>
        <w:ind w:hanging="0"/>
        <w:jc w:val="both"/>
        <w:rPr>
          <w:color w:val="0070C0"/>
        </w:rPr>
      </w:pPr>
      <w:r>
        <w:rPr>
          <w:color w:val="0070C0"/>
        </w:rPr>
      </w:r>
    </w:p>
    <w:p>
      <w:pPr>
        <w:pStyle w:val="Normal"/>
        <w:keepNext w:val="true"/>
        <w:numPr>
          <w:ilvl w:val="0"/>
          <w:numId w:val="10"/>
        </w:numPr>
        <w:spacing w:before="120" w:after="120"/>
        <w:ind w:left="0" w:hanging="2"/>
        <w:jc w:val="both"/>
        <w:rPr>
          <w:rFonts w:ascii="Times New Roman" w:hAnsi="Times New Roman" w:eastAsia="Times New Roman" w:cs="Times New Roman"/>
        </w:rPr>
      </w:pPr>
      <w:r>
        <w:rPr>
          <w:rFonts w:eastAsia="Times New Roman" w:cs="Times New Roman" w:ascii="Times New Roman" w:hAnsi="Times New Roman"/>
          <w:b/>
        </w:rPr>
        <w:t>ADAPTACIONES DE LA PROGRAMACIÓN A REALIZAR EN LOS DIFERENTES GRUPOS A LA VISTA DE LA EVALUACIÓN INICIAL</w:t>
      </w:r>
    </w:p>
    <w:p>
      <w:pPr>
        <w:pStyle w:val="Normal"/>
        <w:spacing w:lineRule="auto" w:line="360"/>
        <w:ind w:hanging="2"/>
        <w:jc w:val="both"/>
        <w:rPr/>
      </w:pPr>
      <w:r>
        <w:rPr/>
        <w:t>Para llevar a cabo esta tarea, desde el 16 de septiembre al 7 de octubre, se ha recabado información sobre los siguientes aspectos:</w:t>
      </w:r>
    </w:p>
    <w:p>
      <w:pPr>
        <w:pStyle w:val="Normal"/>
        <w:numPr>
          <w:ilvl w:val="0"/>
          <w:numId w:val="7"/>
        </w:numPr>
        <w:tabs>
          <w:tab w:val="left" w:pos="720" w:leader="none"/>
        </w:tabs>
        <w:spacing w:lineRule="auto" w:line="360"/>
        <w:ind w:left="0" w:hanging="2"/>
        <w:jc w:val="both"/>
        <w:rPr/>
      </w:pPr>
      <w:r>
        <w:rPr/>
        <w:t>Conocimientos previos sobre conceptos básicos del módulo.</w:t>
      </w:r>
    </w:p>
    <w:p>
      <w:pPr>
        <w:pStyle w:val="Normal"/>
        <w:numPr>
          <w:ilvl w:val="0"/>
          <w:numId w:val="7"/>
        </w:numPr>
        <w:tabs>
          <w:tab w:val="left" w:pos="720" w:leader="none"/>
        </w:tabs>
        <w:spacing w:lineRule="auto" w:line="360"/>
        <w:ind w:left="0" w:hanging="2"/>
        <w:jc w:val="both"/>
        <w:rPr/>
      </w:pPr>
      <w:r>
        <w:rPr/>
        <w:t>Comprensión lectora  y redacción.</w:t>
      </w:r>
    </w:p>
    <w:p>
      <w:pPr>
        <w:pStyle w:val="Normal"/>
        <w:numPr>
          <w:ilvl w:val="0"/>
          <w:numId w:val="7"/>
        </w:numPr>
        <w:tabs>
          <w:tab w:val="left" w:pos="720" w:leader="none"/>
        </w:tabs>
        <w:spacing w:lineRule="auto" w:line="360"/>
        <w:ind w:left="0" w:hanging="2"/>
        <w:jc w:val="both"/>
        <w:rPr/>
      </w:pPr>
      <w:r>
        <w:rPr/>
        <w:t>Nivel de  ortografía  y gramática.</w:t>
      </w:r>
    </w:p>
    <w:p>
      <w:pPr>
        <w:pStyle w:val="Normal"/>
        <w:numPr>
          <w:ilvl w:val="0"/>
          <w:numId w:val="7"/>
        </w:numPr>
        <w:tabs>
          <w:tab w:val="left" w:pos="720" w:leader="none"/>
        </w:tabs>
        <w:spacing w:lineRule="auto" w:line="360"/>
        <w:ind w:left="0" w:hanging="2"/>
        <w:jc w:val="both"/>
        <w:rPr/>
      </w:pPr>
      <w:r>
        <w:rPr/>
        <w:t>Motivaciones e intereses con respecto al módulo.</w:t>
      </w:r>
    </w:p>
    <w:p>
      <w:pPr>
        <w:pStyle w:val="Normal"/>
        <w:numPr>
          <w:ilvl w:val="0"/>
          <w:numId w:val="7"/>
        </w:numPr>
        <w:tabs>
          <w:tab w:val="left" w:pos="720" w:leader="none"/>
        </w:tabs>
        <w:spacing w:lineRule="auto" w:line="360"/>
        <w:ind w:left="0" w:hanging="2"/>
        <w:jc w:val="both"/>
        <w:rPr/>
      </w:pPr>
      <w:r>
        <w:rPr/>
        <w:t>Trayectoria académica y/o profesional.</w:t>
      </w:r>
    </w:p>
    <w:p>
      <w:pPr>
        <w:pStyle w:val="Normal"/>
        <w:numPr>
          <w:ilvl w:val="0"/>
          <w:numId w:val="7"/>
        </w:numPr>
        <w:tabs>
          <w:tab w:val="left" w:pos="720" w:leader="none"/>
        </w:tabs>
        <w:spacing w:lineRule="auto" w:line="360"/>
        <w:ind w:left="0" w:hanging="2"/>
        <w:jc w:val="both"/>
        <w:rPr/>
      </w:pPr>
      <w:r>
        <w:rPr/>
        <w:t>La observación del alumnado y las actividades realizadas las primeras semanas de clase. Asistencia, puntualidad, interés y trabajo diario.</w:t>
      </w:r>
    </w:p>
    <w:p>
      <w:pPr>
        <w:pStyle w:val="Normal"/>
        <w:ind w:hanging="2"/>
        <w:jc w:val="both"/>
        <w:rPr/>
      </w:pPr>
      <w:r>
        <w:rPr/>
        <w:t xml:space="preserve">Se puede afirmar que en cada clase  hay  un grupo heterogéneo, donde se distingue alumnado con un nivel alto y otros con  dificultades en escritura especialmente en redacción, ortografía, gramática y signos de puntuación. Se detecta una amplia mayoría con desconocimiento previo de  contenidos del módulo ya que el alumnado  que proviene del Ciclo Formativo de Grado Medio Gestión Administrativa sí que  tiene conocimiento  básico. Se detecta falta de atención en un número bastante considerable así como adición al móvil. </w:t>
      </w:r>
    </w:p>
    <w:p>
      <w:pPr>
        <w:pStyle w:val="Normal"/>
        <w:pBdr/>
        <w:ind w:hanging="0"/>
        <w:jc w:val="both"/>
        <w:rPr>
          <w:color w:val="000000"/>
        </w:rPr>
      </w:pPr>
      <w:r>
        <w:rPr>
          <w:color w:val="000000"/>
        </w:rPr>
      </w:r>
    </w:p>
    <w:p>
      <w:pPr>
        <w:pStyle w:val="Normal"/>
        <w:pBdr/>
        <w:ind w:hanging="0"/>
        <w:jc w:val="both"/>
        <w:rPr>
          <w:color w:val="000000"/>
        </w:rPr>
      </w:pPr>
      <w:r>
        <w:rPr>
          <w:color w:val="000000"/>
        </w:rPr>
      </w:r>
    </w:p>
    <w:p>
      <w:pPr>
        <w:pStyle w:val="Normal"/>
        <w:pBdr/>
        <w:ind w:hanging="0"/>
        <w:jc w:val="both"/>
        <w:rPr>
          <w:color w:val="000000"/>
        </w:rPr>
      </w:pPr>
      <w:r>
        <w:rPr>
          <w:color w:val="000000"/>
        </w:rPr>
      </w:r>
    </w:p>
    <w:p>
      <w:pPr>
        <w:pStyle w:val="Normal"/>
        <w:pBdr/>
        <w:ind w:hanging="0"/>
        <w:jc w:val="both"/>
        <w:rPr>
          <w:color w:val="000000"/>
        </w:rPr>
      </w:pPr>
      <w:r>
        <w:rPr>
          <w:color w:val="000000"/>
        </w:rPr>
        <w:t>4. PLATAFORMA DIGITAL QUE SE VA A UTILIZAR DURANTE EL CURSO Y QUE SERÍA LA HERRAMIENTA BÁSICA, CASO DE QUE LAS CLASES NO PUDIESEN SER PRESENCIALES TOTAL O PARCIALMENTE POR CAUSAS DE FUERZA MAYOR</w:t>
      </w:r>
      <w:r>
        <w:rPr>
          <w:b/>
          <w:color w:val="000000"/>
        </w:rPr>
        <w:t>.</w:t>
      </w:r>
    </w:p>
    <w:p>
      <w:pPr>
        <w:pStyle w:val="Normal"/>
        <w:ind w:left="1" w:hanging="3"/>
        <w:jc w:val="both"/>
        <w:rPr>
          <w:rFonts w:ascii="Times New Roman" w:hAnsi="Times New Roman" w:eastAsia="Times New Roman" w:cs="Times New Roman"/>
          <w:sz w:val="32"/>
          <w:szCs w:val="32"/>
        </w:rPr>
      </w:pPr>
      <w:r>
        <w:rPr>
          <w:rFonts w:eastAsia="Times New Roman" w:cs="Times New Roman" w:ascii="Times New Roman" w:hAnsi="Times New Roman"/>
          <w:b/>
          <w:sz w:val="32"/>
          <w:szCs w:val="32"/>
        </w:rPr>
        <w:t>Classroom</w:t>
      </w:r>
    </w:p>
    <w:p>
      <w:pPr>
        <w:pStyle w:val="Normal"/>
        <w:ind w:hanging="2"/>
        <w:jc w:val="both"/>
        <w:rPr>
          <w:rFonts w:ascii="Times New Roman" w:hAnsi="Times New Roman" w:eastAsia="Times New Roman" w:cs="Times New Roman"/>
        </w:rPr>
      </w:pPr>
      <w:r>
        <w:rPr>
          <w:rFonts w:eastAsia="Times New Roman" w:cs="Times New Roman" w:ascii="Times New Roman" w:hAnsi="Times New Roman"/>
        </w:rPr>
      </w:r>
    </w:p>
    <w:p>
      <w:pPr>
        <w:pStyle w:val="Normal"/>
        <w:ind w:hanging="2"/>
        <w:jc w:val="both"/>
        <w:rPr>
          <w:rFonts w:ascii="Calibri" w:hAnsi="Calibri" w:eastAsia="Calibri" w:cs="Calibri"/>
        </w:rPr>
      </w:pPr>
      <w:r>
        <w:rPr>
          <w:rFonts w:eastAsia="Calibri" w:cs="Calibri" w:ascii="Calibri" w:hAnsi="Calibri"/>
        </w:rPr>
      </w:r>
    </w:p>
    <w:p>
      <w:pPr>
        <w:pStyle w:val="Normal"/>
        <w:keepNext w:val="true"/>
        <w:spacing w:before="120" w:after="120"/>
        <w:ind w:hanging="0"/>
        <w:jc w:val="both"/>
        <w:rPr>
          <w:rFonts w:ascii="Times New Roman" w:hAnsi="Times New Roman" w:eastAsia="Times New Roman" w:cs="Times New Roman"/>
        </w:rPr>
      </w:pPr>
      <w:r>
        <w:rPr>
          <w:rFonts w:eastAsia="Times New Roman" w:cs="Times New Roman" w:ascii="Times New Roman" w:hAnsi="Times New Roman"/>
          <w:b/>
        </w:rPr>
        <w:t xml:space="preserve">5. OBJETIVOS GENERALES, COMPETENCIAS PROFESIONALES, PERSONALES Y SOCIALES QUE DEBE  PERMITIR ALCANZAR EL MÓDULO </w:t>
      </w:r>
    </w:p>
    <w:p>
      <w:pPr>
        <w:pStyle w:val="Normal"/>
        <w:spacing w:lineRule="auto" w:line="360"/>
        <w:ind w:hanging="2"/>
        <w:jc w:val="both"/>
        <w:rPr/>
      </w:pPr>
      <w:r>
        <w:rPr/>
      </w:r>
    </w:p>
    <w:p>
      <w:pPr>
        <w:pStyle w:val="Normal"/>
        <w:pBdr/>
        <w:spacing w:before="480" w:after="0"/>
        <w:ind w:hanging="2"/>
        <w:jc w:val="both"/>
        <w:rPr>
          <w:rFonts w:ascii="Times New Roman" w:hAnsi="Times New Roman" w:eastAsia="Times New Roman" w:cs="Times New Roman"/>
          <w:color w:val="000000"/>
        </w:rPr>
      </w:pPr>
      <w:r>
        <w:rPr>
          <w:rFonts w:eastAsia="Times New Roman" w:cs="Times New Roman" w:ascii="Times New Roman" w:hAnsi="Times New Roman"/>
          <w:color w:val="000000"/>
        </w:rPr>
      </w:r>
    </w:p>
    <w:tbl>
      <w:tblPr>
        <w:tblStyle w:val="affffff"/>
        <w:tblW w:w="9292" w:type="dxa"/>
        <w:jc w:val="left"/>
        <w:tblInd w:w="496" w:type="dxa"/>
        <w:tblLayout w:type="fixed"/>
        <w:tblCellMar>
          <w:top w:w="0" w:type="dxa"/>
          <w:left w:w="108" w:type="dxa"/>
          <w:bottom w:w="0" w:type="dxa"/>
          <w:right w:w="108" w:type="dxa"/>
        </w:tblCellMar>
        <w:tblLook w:val="0000" w:noHBand="0" w:noVBand="0" w:firstColumn="0" w:lastRow="0" w:lastColumn="0" w:firstRow="0"/>
      </w:tblPr>
      <w:tblGrid>
        <w:gridCol w:w="357"/>
        <w:gridCol w:w="8934"/>
      </w:tblGrid>
      <w:tr>
        <w:trPr/>
        <w:tc>
          <w:tcPr>
            <w:tcW w:w="357" w:type="dxa"/>
            <w:tcBorders>
              <w:bottom w:val="single" w:sz="4" w:space="0" w:color="000000"/>
            </w:tcBorders>
          </w:tcPr>
          <w:p>
            <w:pPr>
              <w:pStyle w:val="Normal"/>
              <w:widowControl w:val="false"/>
              <w:pBdr/>
              <w:tabs>
                <w:tab w:val="clear" w:pos="720"/>
                <w:tab w:val="left" w:pos="5837" w:leader="none"/>
              </w:tabs>
              <w:ind w:hanging="2"/>
              <w:jc w:val="center"/>
              <w:rPr>
                <w:color w:val="000000"/>
              </w:rPr>
            </w:pPr>
            <w:r>
              <w:rPr>
                <w:color w:val="000000"/>
              </w:rPr>
            </w:r>
          </w:p>
        </w:tc>
        <w:tc>
          <w:tcPr>
            <w:tcW w:w="8934" w:type="dxa"/>
            <w:tcBorders>
              <w:top w:val="single" w:sz="4" w:space="0" w:color="000000"/>
              <w:left w:val="single" w:sz="4" w:space="0" w:color="000000"/>
              <w:bottom w:val="single" w:sz="4" w:space="0" w:color="000000"/>
              <w:right w:val="single" w:sz="4" w:space="0" w:color="000000"/>
            </w:tcBorders>
          </w:tcPr>
          <w:p>
            <w:pPr>
              <w:pStyle w:val="Normal"/>
              <w:widowControl w:val="false"/>
              <w:pBdr/>
              <w:tabs>
                <w:tab w:val="clear" w:pos="720"/>
                <w:tab w:val="left" w:pos="5837" w:leader="none"/>
              </w:tabs>
              <w:ind w:hanging="2"/>
              <w:jc w:val="center"/>
              <w:rPr>
                <w:color w:val="000000"/>
              </w:rPr>
            </w:pPr>
            <w:r>
              <w:rPr>
                <w:b/>
                <w:color w:val="000000"/>
              </w:rPr>
              <w:t>OBJETIVOS GENERALES</w:t>
            </w:r>
          </w:p>
        </w:tc>
      </w:tr>
      <w:tr>
        <w:trPr/>
        <w:tc>
          <w:tcPr>
            <w:tcW w:w="357" w:type="dxa"/>
            <w:tcBorders>
              <w:top w:val="single" w:sz="4" w:space="0" w:color="000000"/>
              <w:left w:val="single" w:sz="4" w:space="0" w:color="000000"/>
              <w:bottom w:val="single" w:sz="4" w:space="0" w:color="000000"/>
            </w:tcBorders>
          </w:tcPr>
          <w:p>
            <w:pPr>
              <w:pStyle w:val="Normal"/>
              <w:widowControl w:val="false"/>
              <w:pBdr/>
              <w:tabs>
                <w:tab w:val="clear" w:pos="720"/>
                <w:tab w:val="left" w:pos="5837" w:leader="none"/>
              </w:tabs>
              <w:ind w:hanging="2"/>
              <w:jc w:val="center"/>
              <w:rPr>
                <w:color w:val="000000"/>
                <w:sz w:val="19"/>
                <w:szCs w:val="19"/>
              </w:rPr>
            </w:pPr>
            <w:r>
              <w:rPr>
                <w:b/>
                <w:color w:val="000000"/>
              </w:rPr>
              <w:t>a</w:t>
            </w:r>
          </w:p>
        </w:tc>
        <w:tc>
          <w:tcPr>
            <w:tcW w:w="8934"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36" w:leader="none"/>
              </w:tabs>
              <w:ind w:right="288" w:hanging="2"/>
              <w:jc w:val="both"/>
              <w:rPr>
                <w:color w:val="0000FF"/>
              </w:rPr>
            </w:pPr>
            <w:r>
              <w:rPr>
                <w:color w:val="000000"/>
                <w:sz w:val="19"/>
                <w:szCs w:val="19"/>
              </w:rPr>
              <w:t>Analizar y confeccionar los documentos o comunicaciones que se utilizan en la empresa, identificando la tipología de los mismos y su finalidad, para gestionarlos.</w:t>
            </w:r>
          </w:p>
        </w:tc>
      </w:tr>
      <w:tr>
        <w:trPr/>
        <w:tc>
          <w:tcPr>
            <w:tcW w:w="357" w:type="dxa"/>
            <w:tcBorders>
              <w:top w:val="single" w:sz="4" w:space="0" w:color="000000"/>
              <w:left w:val="single" w:sz="4" w:space="0" w:color="000000"/>
              <w:bottom w:val="single" w:sz="4" w:space="0" w:color="000000"/>
            </w:tcBorders>
          </w:tcPr>
          <w:p>
            <w:pPr>
              <w:pStyle w:val="Normal"/>
              <w:widowControl w:val="false"/>
              <w:pBdr/>
              <w:tabs>
                <w:tab w:val="clear" w:pos="720"/>
                <w:tab w:val="left" w:pos="5837" w:leader="none"/>
              </w:tabs>
              <w:ind w:hanging="2"/>
              <w:jc w:val="center"/>
              <w:rPr>
                <w:color w:val="000000"/>
                <w:sz w:val="19"/>
                <w:szCs w:val="19"/>
              </w:rPr>
            </w:pPr>
            <w:r>
              <w:rPr>
                <w:b/>
                <w:color w:val="000000"/>
              </w:rPr>
              <w:t>b</w:t>
            </w:r>
          </w:p>
        </w:tc>
        <w:tc>
          <w:tcPr>
            <w:tcW w:w="8934"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464" w:leader="none"/>
              </w:tabs>
              <w:ind w:right="288" w:hanging="2"/>
              <w:jc w:val="both"/>
              <w:rPr>
                <w:color w:val="0000FF"/>
              </w:rPr>
            </w:pPr>
            <w:r>
              <w:rPr>
                <w:color w:val="000000"/>
                <w:sz w:val="19"/>
                <w:szCs w:val="19"/>
              </w:rPr>
              <w:t>Analizar los documentos o comunicaciones que se utilizan en la empresa reconociendo su estructura, elementos y características para elaborarlos.</w:t>
            </w:r>
          </w:p>
        </w:tc>
      </w:tr>
      <w:tr>
        <w:trPr>
          <w:trHeight w:val="517" w:hRule="atLeast"/>
        </w:trPr>
        <w:tc>
          <w:tcPr>
            <w:tcW w:w="357" w:type="dxa"/>
            <w:tcBorders>
              <w:top w:val="single" w:sz="4" w:space="0" w:color="000000"/>
              <w:left w:val="single" w:sz="4" w:space="0" w:color="000000"/>
              <w:bottom w:val="single" w:sz="4" w:space="0" w:color="000000"/>
            </w:tcBorders>
          </w:tcPr>
          <w:p>
            <w:pPr>
              <w:pStyle w:val="Normal"/>
              <w:widowControl w:val="false"/>
              <w:pBdr/>
              <w:tabs>
                <w:tab w:val="clear" w:pos="720"/>
                <w:tab w:val="left" w:pos="5837" w:leader="none"/>
              </w:tabs>
              <w:ind w:hanging="2"/>
              <w:jc w:val="center"/>
              <w:rPr>
                <w:rFonts w:ascii="Times New Roman" w:hAnsi="Times New Roman" w:eastAsia="Times New Roman" w:cs="Times New Roman"/>
                <w:color w:val="000000"/>
                <w:sz w:val="19"/>
                <w:szCs w:val="19"/>
              </w:rPr>
            </w:pPr>
            <w:r>
              <w:rPr>
                <w:b/>
                <w:color w:val="000000"/>
              </w:rPr>
              <w:t>c</w:t>
            </w:r>
          </w:p>
        </w:tc>
        <w:tc>
          <w:tcPr>
            <w:tcW w:w="8934" w:type="dxa"/>
            <w:tcBorders>
              <w:top w:val="single" w:sz="4" w:space="0" w:color="000000"/>
              <w:left w:val="single" w:sz="4" w:space="0" w:color="000000"/>
              <w:bottom w:val="single" w:sz="4" w:space="0" w:color="000000"/>
              <w:right w:val="single" w:sz="4" w:space="0" w:color="000000"/>
            </w:tcBorders>
          </w:tcPr>
          <w:p>
            <w:pPr>
              <w:pStyle w:val="Normal"/>
              <w:widowControl w:val="false"/>
              <w:pBdr/>
              <w:tabs>
                <w:tab w:val="clear" w:pos="720"/>
                <w:tab w:val="left" w:pos="5837" w:leader="none"/>
              </w:tabs>
              <w:ind w:hanging="2"/>
              <w:jc w:val="both"/>
              <w:rPr>
                <w:color w:val="000000"/>
                <w:sz w:val="19"/>
                <w:szCs w:val="19"/>
              </w:rPr>
            </w:pPr>
            <w:r>
              <w:rPr>
                <w:color w:val="000000"/>
                <w:sz w:val="19"/>
                <w:szCs w:val="19"/>
              </w:rPr>
              <w:t>Identificar y seleccionar las expresiones de lengua inglesa, propias de la empresa, para elaborar documentos y comunicaciones.</w:t>
            </w:r>
          </w:p>
        </w:tc>
      </w:tr>
      <w:tr>
        <w:trPr/>
        <w:tc>
          <w:tcPr>
            <w:tcW w:w="357" w:type="dxa"/>
            <w:tcBorders>
              <w:top w:val="single" w:sz="4" w:space="0" w:color="000000"/>
              <w:left w:val="single" w:sz="4" w:space="0" w:color="000000"/>
              <w:bottom w:val="single" w:sz="4" w:space="0" w:color="000000"/>
            </w:tcBorders>
          </w:tcPr>
          <w:p>
            <w:pPr>
              <w:pStyle w:val="Normal"/>
              <w:widowControl w:val="false"/>
              <w:pBdr/>
              <w:tabs>
                <w:tab w:val="clear" w:pos="720"/>
                <w:tab w:val="left" w:pos="5837" w:leader="none"/>
              </w:tabs>
              <w:ind w:hanging="2"/>
              <w:jc w:val="center"/>
              <w:rPr>
                <w:color w:val="000000"/>
                <w:sz w:val="19"/>
                <w:szCs w:val="19"/>
              </w:rPr>
            </w:pPr>
            <w:r>
              <w:rPr>
                <w:b/>
                <w:color w:val="000000"/>
              </w:rPr>
              <w:t>d</w:t>
            </w:r>
          </w:p>
        </w:tc>
        <w:tc>
          <w:tcPr>
            <w:tcW w:w="8934" w:type="dxa"/>
            <w:tcBorders>
              <w:top w:val="single" w:sz="4" w:space="0" w:color="000000"/>
              <w:left w:val="single" w:sz="4" w:space="0" w:color="000000"/>
              <w:bottom w:val="single" w:sz="4" w:space="0" w:color="000000"/>
              <w:right w:val="single" w:sz="4" w:space="0" w:color="000000"/>
            </w:tcBorders>
          </w:tcPr>
          <w:p>
            <w:pPr>
              <w:pStyle w:val="Normal"/>
              <w:widowControl w:val="false"/>
              <w:pBdr/>
              <w:tabs>
                <w:tab w:val="clear" w:pos="720"/>
                <w:tab w:val="left" w:pos="5837" w:leader="none"/>
              </w:tabs>
              <w:ind w:hanging="2"/>
              <w:rPr>
                <w:color w:val="000000"/>
              </w:rPr>
            </w:pPr>
            <w:r>
              <w:rPr>
                <w:color w:val="000000"/>
                <w:sz w:val="19"/>
                <w:szCs w:val="19"/>
              </w:rPr>
              <w:t>Analizar las posibilidades de las aplicaciones y equipos informáticos, relacionándolas con su empleo más eficaz en el tratamiento de la información para elaborar documentos y comunicaciones</w:t>
            </w:r>
          </w:p>
        </w:tc>
      </w:tr>
      <w:tr>
        <w:trPr/>
        <w:tc>
          <w:tcPr>
            <w:tcW w:w="357" w:type="dxa"/>
            <w:tcBorders>
              <w:top w:val="single" w:sz="4" w:space="0" w:color="000000"/>
              <w:left w:val="single" w:sz="4" w:space="0" w:color="000000"/>
              <w:bottom w:val="single" w:sz="4" w:space="0" w:color="000000"/>
            </w:tcBorders>
          </w:tcPr>
          <w:p>
            <w:pPr>
              <w:pStyle w:val="Normal"/>
              <w:widowControl w:val="false"/>
              <w:pBdr/>
              <w:tabs>
                <w:tab w:val="clear" w:pos="720"/>
                <w:tab w:val="left" w:pos="5837" w:leader="none"/>
              </w:tabs>
              <w:ind w:hanging="2"/>
              <w:jc w:val="center"/>
              <w:rPr>
                <w:color w:val="000000"/>
                <w:sz w:val="19"/>
                <w:szCs w:val="19"/>
              </w:rPr>
            </w:pPr>
            <w:r>
              <w:rPr>
                <w:b/>
                <w:color w:val="000000"/>
              </w:rPr>
              <w:t>e</w:t>
            </w:r>
          </w:p>
        </w:tc>
        <w:tc>
          <w:tcPr>
            <w:tcW w:w="8934" w:type="dxa"/>
            <w:tcBorders>
              <w:top w:val="single" w:sz="4" w:space="0" w:color="000000"/>
              <w:left w:val="single" w:sz="4" w:space="0" w:color="000000"/>
              <w:bottom w:val="single" w:sz="4" w:space="0" w:color="000000"/>
              <w:right w:val="single" w:sz="4" w:space="0" w:color="000000"/>
            </w:tcBorders>
          </w:tcPr>
          <w:p>
            <w:pPr>
              <w:pStyle w:val="Normal"/>
              <w:widowControl w:val="false"/>
              <w:pBdr/>
              <w:tabs>
                <w:tab w:val="clear" w:pos="720"/>
                <w:tab w:val="left" w:pos="5837" w:leader="none"/>
              </w:tabs>
              <w:ind w:hanging="2"/>
              <w:jc w:val="both"/>
              <w:rPr>
                <w:color w:val="000000"/>
              </w:rPr>
            </w:pPr>
            <w:r>
              <w:rPr>
                <w:color w:val="000000"/>
                <w:sz w:val="19"/>
                <w:szCs w:val="19"/>
              </w:rPr>
              <w:t>Analizar la información disponible para detectar necesidades relacionadas con la gestión empresarial.</w:t>
            </w:r>
          </w:p>
        </w:tc>
      </w:tr>
      <w:tr>
        <w:trPr/>
        <w:tc>
          <w:tcPr>
            <w:tcW w:w="357" w:type="dxa"/>
            <w:tcBorders>
              <w:top w:val="single" w:sz="4" w:space="0" w:color="000000"/>
              <w:left w:val="single" w:sz="4" w:space="0" w:color="000000"/>
              <w:bottom w:val="single" w:sz="4" w:space="0" w:color="000000"/>
            </w:tcBorders>
          </w:tcPr>
          <w:p>
            <w:pPr>
              <w:pStyle w:val="Normal"/>
              <w:widowControl w:val="false"/>
              <w:pBdr/>
              <w:tabs>
                <w:tab w:val="clear" w:pos="720"/>
                <w:tab w:val="left" w:pos="5837" w:leader="none"/>
              </w:tabs>
              <w:ind w:hanging="2"/>
              <w:jc w:val="center"/>
              <w:rPr>
                <w:color w:val="000000"/>
                <w:sz w:val="19"/>
                <w:szCs w:val="19"/>
              </w:rPr>
            </w:pPr>
            <w:r>
              <w:rPr>
                <w:b/>
                <w:color w:val="000000"/>
              </w:rPr>
              <w:t>g</w:t>
            </w:r>
          </w:p>
        </w:tc>
        <w:tc>
          <w:tcPr>
            <w:tcW w:w="8934" w:type="dxa"/>
            <w:tcBorders>
              <w:top w:val="single" w:sz="4" w:space="0" w:color="000000"/>
              <w:left w:val="single" w:sz="4" w:space="0" w:color="000000"/>
              <w:bottom w:val="single" w:sz="4" w:space="0" w:color="000000"/>
              <w:right w:val="single" w:sz="4" w:space="0" w:color="000000"/>
            </w:tcBorders>
          </w:tcPr>
          <w:p>
            <w:pPr>
              <w:pStyle w:val="Normal"/>
              <w:widowControl w:val="false"/>
              <w:ind w:right="288" w:hanging="2"/>
              <w:jc w:val="both"/>
              <w:rPr>
                <w:color w:val="339966"/>
              </w:rPr>
            </w:pPr>
            <w:r>
              <w:rPr>
                <w:color w:val="000000"/>
                <w:sz w:val="19"/>
                <w:szCs w:val="19"/>
              </w:rPr>
              <w:t>Identificar las técnicas y parámetros que determinan las empresas para clasificar, registrar y archivar comunicaciones y documentos.</w:t>
            </w:r>
          </w:p>
        </w:tc>
      </w:tr>
      <w:tr>
        <w:trPr/>
        <w:tc>
          <w:tcPr>
            <w:tcW w:w="357" w:type="dxa"/>
            <w:tcBorders>
              <w:top w:val="single" w:sz="4" w:space="0" w:color="000000"/>
              <w:left w:val="single" w:sz="4" w:space="0" w:color="000000"/>
              <w:bottom w:val="single" w:sz="4" w:space="0" w:color="000000"/>
            </w:tcBorders>
          </w:tcPr>
          <w:p>
            <w:pPr>
              <w:pStyle w:val="Normal"/>
              <w:widowControl w:val="false"/>
              <w:pBdr/>
              <w:tabs>
                <w:tab w:val="clear" w:pos="720"/>
                <w:tab w:val="left" w:pos="5837" w:leader="none"/>
              </w:tabs>
              <w:ind w:hanging="2"/>
              <w:jc w:val="center"/>
              <w:rPr>
                <w:color w:val="000000"/>
                <w:sz w:val="19"/>
                <w:szCs w:val="19"/>
              </w:rPr>
            </w:pPr>
            <w:r>
              <w:rPr>
                <w:b/>
                <w:color w:val="000000"/>
              </w:rPr>
              <w:t>n</w:t>
            </w:r>
          </w:p>
        </w:tc>
        <w:tc>
          <w:tcPr>
            <w:tcW w:w="8934" w:type="dxa"/>
            <w:tcBorders>
              <w:top w:val="single" w:sz="4" w:space="0" w:color="000000"/>
              <w:left w:val="single" w:sz="4" w:space="0" w:color="000000"/>
              <w:bottom w:val="single" w:sz="4" w:space="0" w:color="000000"/>
              <w:right w:val="single" w:sz="4" w:space="0" w:color="000000"/>
            </w:tcBorders>
          </w:tcPr>
          <w:p>
            <w:pPr>
              <w:pStyle w:val="Normal"/>
              <w:widowControl w:val="false"/>
              <w:ind w:right="288" w:hanging="2"/>
              <w:jc w:val="both"/>
              <w:rPr>
                <w:color w:val="339966"/>
              </w:rPr>
            </w:pPr>
            <w:r>
              <w:rPr>
                <w:color w:val="000000"/>
                <w:sz w:val="19"/>
                <w:szCs w:val="19"/>
              </w:rPr>
              <w:t>Reconocer las técnicas de atención al cliente/usuario, adecuándolas a cada caso y analizando los protocolos de calidad e imagen empresarial o institucional para desempeñar las actividades relacionadas.</w:t>
            </w:r>
          </w:p>
        </w:tc>
      </w:tr>
      <w:tr>
        <w:trPr/>
        <w:tc>
          <w:tcPr>
            <w:tcW w:w="357" w:type="dxa"/>
            <w:tcBorders>
              <w:top w:val="single" w:sz="4" w:space="0" w:color="000000"/>
              <w:left w:val="single" w:sz="4" w:space="0" w:color="000000"/>
              <w:bottom w:val="single" w:sz="4" w:space="0" w:color="000000"/>
            </w:tcBorders>
          </w:tcPr>
          <w:p>
            <w:pPr>
              <w:pStyle w:val="Normal"/>
              <w:widowControl w:val="false"/>
              <w:pBdr/>
              <w:tabs>
                <w:tab w:val="clear" w:pos="720"/>
                <w:tab w:val="left" w:pos="5837" w:leader="none"/>
              </w:tabs>
              <w:ind w:hanging="2"/>
              <w:jc w:val="center"/>
              <w:rPr>
                <w:color w:val="339966"/>
              </w:rPr>
            </w:pPr>
            <w:r>
              <w:rPr>
                <w:b/>
                <w:color w:val="000000"/>
              </w:rPr>
              <w:t>s</w:t>
            </w:r>
          </w:p>
        </w:tc>
        <w:tc>
          <w:tcPr>
            <w:tcW w:w="8934" w:type="dxa"/>
            <w:tcBorders>
              <w:top w:val="single" w:sz="4" w:space="0" w:color="000000"/>
              <w:left w:val="single" w:sz="4" w:space="0" w:color="000000"/>
              <w:bottom w:val="single" w:sz="4" w:space="0" w:color="000000"/>
              <w:right w:val="single" w:sz="4" w:space="0" w:color="000000"/>
            </w:tcBorders>
          </w:tcPr>
          <w:p>
            <w:pPr>
              <w:pStyle w:val="Normal"/>
              <w:widowControl w:val="false"/>
              <w:ind w:right="288" w:hanging="2"/>
              <w:jc w:val="both"/>
              <w:rPr>
                <w:color w:val="339966"/>
              </w:rPr>
            </w:pPr>
            <w:r>
              <w:rPr>
                <w:color w:val="339966"/>
              </w:rPr>
              <w:t xml:space="preserve"> </w:t>
            </w:r>
            <w:r>
              <w:rPr>
                <w:color w:val="000000"/>
                <w:sz w:val="19"/>
                <w:szCs w:val="19"/>
              </w:rPr>
              <w:t>Aplicar estrategias y técnicas de comunicación, adaptándose a los contenidos que se van a transmitir, a la finalidad y a las características de los receptores, para asegurar la eficacia en los procesos de comunicación.</w:t>
            </w:r>
          </w:p>
        </w:tc>
      </w:tr>
    </w:tbl>
    <w:p>
      <w:pPr>
        <w:pStyle w:val="Normal"/>
        <w:pBdr/>
        <w:tabs>
          <w:tab w:val="clear" w:pos="720"/>
          <w:tab w:val="left" w:pos="5837" w:leader="none"/>
        </w:tabs>
        <w:spacing w:lineRule="auto" w:line="480" w:before="0" w:after="120"/>
        <w:ind w:hanging="2"/>
        <w:rPr>
          <w:color w:val="000000"/>
          <w:u w:val="single"/>
        </w:rPr>
      </w:pPr>
      <w:r>
        <w:rPr>
          <w:color w:val="000000"/>
          <w:u w:val="single"/>
        </w:rPr>
      </w:r>
    </w:p>
    <w:tbl>
      <w:tblPr>
        <w:tblStyle w:val="affffff0"/>
        <w:tblW w:w="9292" w:type="dxa"/>
        <w:jc w:val="left"/>
        <w:tblInd w:w="496" w:type="dxa"/>
        <w:tblLayout w:type="fixed"/>
        <w:tblCellMar>
          <w:top w:w="0" w:type="dxa"/>
          <w:left w:w="108" w:type="dxa"/>
          <w:bottom w:w="0" w:type="dxa"/>
          <w:right w:w="108" w:type="dxa"/>
        </w:tblCellMar>
        <w:tblLook w:val="0000" w:noHBand="0" w:noVBand="0" w:firstColumn="0" w:lastRow="0" w:lastColumn="0" w:firstRow="0"/>
      </w:tblPr>
      <w:tblGrid>
        <w:gridCol w:w="356"/>
        <w:gridCol w:w="8935"/>
      </w:tblGrid>
      <w:tr>
        <w:trPr>
          <w:trHeight w:val="227" w:hRule="atLeast"/>
        </w:trPr>
        <w:tc>
          <w:tcPr>
            <w:tcW w:w="356" w:type="dxa"/>
            <w:tcBorders>
              <w:bottom w:val="single" w:sz="4" w:space="0" w:color="000000"/>
            </w:tcBorders>
          </w:tcPr>
          <w:p>
            <w:pPr>
              <w:pStyle w:val="Normal"/>
              <w:widowControl w:val="false"/>
              <w:pBdr/>
              <w:tabs>
                <w:tab w:val="clear" w:pos="720"/>
                <w:tab w:val="left" w:pos="5837" w:leader="none"/>
              </w:tabs>
              <w:ind w:hanging="2"/>
              <w:rPr>
                <w:color w:val="000000"/>
              </w:rPr>
            </w:pPr>
            <w:r>
              <w:rPr>
                <w:color w:val="000000"/>
              </w:rPr>
            </w:r>
          </w:p>
        </w:tc>
        <w:tc>
          <w:tcPr>
            <w:tcW w:w="89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pBdr/>
              <w:tabs>
                <w:tab w:val="clear" w:pos="720"/>
                <w:tab w:val="left" w:pos="5837" w:leader="none"/>
              </w:tabs>
              <w:ind w:hanging="2"/>
              <w:jc w:val="center"/>
              <w:rPr>
                <w:color w:val="000000"/>
              </w:rPr>
            </w:pPr>
            <w:r>
              <w:rPr>
                <w:b/>
                <w:color w:val="000000"/>
              </w:rPr>
              <w:t>COMPETENCIAS PROFESIONALES, PERSONALES Y SOCIALES</w:t>
            </w:r>
          </w:p>
        </w:tc>
      </w:tr>
      <w:tr>
        <w:trPr/>
        <w:tc>
          <w:tcPr>
            <w:tcW w:w="356" w:type="dxa"/>
            <w:tcBorders>
              <w:top w:val="single" w:sz="4" w:space="0" w:color="000000"/>
              <w:left w:val="single" w:sz="4" w:space="0" w:color="000000"/>
              <w:bottom w:val="single" w:sz="4" w:space="0" w:color="000000"/>
            </w:tcBorders>
          </w:tcPr>
          <w:p>
            <w:pPr>
              <w:pStyle w:val="Normal"/>
              <w:keepNext w:val="true"/>
              <w:widowControl w:val="false"/>
              <w:pBdr/>
              <w:spacing w:before="0" w:after="240"/>
              <w:ind w:hanging="2"/>
              <w:jc w:val="center"/>
              <w:rPr>
                <w:b/>
                <w:b/>
                <w:color w:val="000000"/>
                <w:sz w:val="19"/>
                <w:szCs w:val="19"/>
              </w:rPr>
            </w:pPr>
            <w:r>
              <w:rPr>
                <w:b/>
                <w:color w:val="000000"/>
              </w:rPr>
              <w:t>a</w:t>
            </w:r>
          </w:p>
        </w:tc>
        <w:tc>
          <w:tcPr>
            <w:tcW w:w="8935" w:type="dxa"/>
            <w:tcBorders>
              <w:top w:val="single" w:sz="4" w:space="0" w:color="000000"/>
              <w:left w:val="single" w:sz="4" w:space="0" w:color="000000"/>
              <w:bottom w:val="single" w:sz="4" w:space="0" w:color="000000"/>
              <w:right w:val="single" w:sz="4" w:space="0" w:color="000000"/>
            </w:tcBorders>
          </w:tcPr>
          <w:p>
            <w:pPr>
              <w:pStyle w:val="Normal"/>
              <w:widowControl w:val="false"/>
              <w:pBdr/>
              <w:tabs>
                <w:tab w:val="clear" w:pos="720"/>
                <w:tab w:val="left" w:pos="1008" w:leader="none"/>
              </w:tabs>
              <w:ind w:right="288" w:hanging="0"/>
              <w:jc w:val="both"/>
              <w:rPr>
                <w:color w:val="0000FF"/>
              </w:rPr>
            </w:pPr>
            <w:r>
              <w:rPr>
                <w:color w:val="000000"/>
                <w:sz w:val="19"/>
                <w:szCs w:val="19"/>
              </w:rPr>
              <w:t>Tramitar documentos o comunicaciones internas o externas en los circuitos de información de la empresa.</w:t>
            </w:r>
          </w:p>
        </w:tc>
      </w:tr>
      <w:tr>
        <w:trPr/>
        <w:tc>
          <w:tcPr>
            <w:tcW w:w="356" w:type="dxa"/>
            <w:tcBorders>
              <w:top w:val="single" w:sz="4" w:space="0" w:color="000000"/>
              <w:left w:val="single" w:sz="4" w:space="0" w:color="000000"/>
              <w:bottom w:val="single" w:sz="4" w:space="0" w:color="000000"/>
            </w:tcBorders>
          </w:tcPr>
          <w:p>
            <w:pPr>
              <w:pStyle w:val="Normal"/>
              <w:keepNext w:val="true"/>
              <w:widowControl w:val="false"/>
              <w:pBdr/>
              <w:spacing w:before="0" w:after="240"/>
              <w:ind w:hanging="2"/>
              <w:jc w:val="center"/>
              <w:rPr>
                <w:b/>
                <w:b/>
                <w:color w:val="000000"/>
                <w:sz w:val="19"/>
                <w:szCs w:val="19"/>
              </w:rPr>
            </w:pPr>
            <w:r>
              <w:rPr>
                <w:b/>
                <w:color w:val="000000"/>
              </w:rPr>
              <w:t>b</w:t>
            </w:r>
          </w:p>
        </w:tc>
        <w:tc>
          <w:tcPr>
            <w:tcW w:w="8935" w:type="dxa"/>
            <w:tcBorders>
              <w:top w:val="single" w:sz="4" w:space="0" w:color="000000"/>
              <w:left w:val="single" w:sz="4" w:space="0" w:color="000000"/>
              <w:bottom w:val="single" w:sz="4" w:space="0" w:color="000000"/>
              <w:right w:val="single" w:sz="4" w:space="0" w:color="000000"/>
            </w:tcBorders>
          </w:tcPr>
          <w:p>
            <w:pPr>
              <w:pStyle w:val="Normal"/>
              <w:widowControl w:val="false"/>
              <w:pBdr/>
              <w:tabs>
                <w:tab w:val="clear" w:pos="720"/>
                <w:tab w:val="left" w:pos="1008" w:leader="none"/>
              </w:tabs>
              <w:ind w:right="288" w:hanging="0"/>
              <w:jc w:val="both"/>
              <w:rPr>
                <w:color w:val="0000FF"/>
              </w:rPr>
            </w:pPr>
            <w:r>
              <w:rPr>
                <w:color w:val="000000"/>
                <w:sz w:val="19"/>
                <w:szCs w:val="19"/>
              </w:rPr>
              <w:t>Elaborar documentos y comunicaciones a partir de órdenes recibidas, información obtenida y/o necesidades detectadas.</w:t>
            </w:r>
          </w:p>
        </w:tc>
      </w:tr>
      <w:tr>
        <w:trPr/>
        <w:tc>
          <w:tcPr>
            <w:tcW w:w="356" w:type="dxa"/>
            <w:tcBorders>
              <w:top w:val="single" w:sz="4" w:space="0" w:color="000000"/>
              <w:left w:val="single" w:sz="4" w:space="0" w:color="000000"/>
              <w:bottom w:val="single" w:sz="4" w:space="0" w:color="000000"/>
            </w:tcBorders>
          </w:tcPr>
          <w:p>
            <w:pPr>
              <w:pStyle w:val="Normal"/>
              <w:keepNext w:val="true"/>
              <w:widowControl w:val="false"/>
              <w:pBdr/>
              <w:spacing w:before="0" w:after="240"/>
              <w:ind w:hanging="2"/>
              <w:jc w:val="center"/>
              <w:rPr>
                <w:b/>
                <w:b/>
                <w:color w:val="000000"/>
                <w:sz w:val="19"/>
                <w:szCs w:val="19"/>
              </w:rPr>
            </w:pPr>
            <w:r>
              <w:rPr>
                <w:b/>
                <w:color w:val="000000"/>
              </w:rPr>
              <w:t>c</w:t>
            </w:r>
          </w:p>
        </w:tc>
        <w:tc>
          <w:tcPr>
            <w:tcW w:w="8935" w:type="dxa"/>
            <w:tcBorders>
              <w:top w:val="single" w:sz="4" w:space="0" w:color="000000"/>
              <w:left w:val="single" w:sz="4" w:space="0" w:color="000000"/>
              <w:bottom w:val="single" w:sz="4" w:space="0" w:color="000000"/>
              <w:right w:val="single" w:sz="4" w:space="0" w:color="000000"/>
            </w:tcBorders>
          </w:tcPr>
          <w:p>
            <w:pPr>
              <w:pStyle w:val="Normal"/>
              <w:widowControl w:val="false"/>
              <w:pBdr/>
              <w:tabs>
                <w:tab w:val="clear" w:pos="720"/>
                <w:tab w:val="left" w:pos="1008" w:leader="none"/>
              </w:tabs>
              <w:ind w:right="288" w:hanging="0"/>
              <w:jc w:val="both"/>
              <w:rPr>
                <w:color w:val="0000FF"/>
              </w:rPr>
            </w:pPr>
            <w:r>
              <w:rPr>
                <w:color w:val="000000"/>
                <w:sz w:val="19"/>
                <w:szCs w:val="19"/>
              </w:rPr>
              <w:t>Detectar necesidades administrativas o de gestión de la empresa de diversos tipos, a partir del análisis de la información disponible y del entorno.</w:t>
            </w:r>
          </w:p>
        </w:tc>
      </w:tr>
      <w:tr>
        <w:trPr/>
        <w:tc>
          <w:tcPr>
            <w:tcW w:w="356" w:type="dxa"/>
            <w:tcBorders>
              <w:top w:val="single" w:sz="4" w:space="0" w:color="000000"/>
              <w:left w:val="single" w:sz="4" w:space="0" w:color="000000"/>
              <w:bottom w:val="single" w:sz="4" w:space="0" w:color="000000"/>
            </w:tcBorders>
          </w:tcPr>
          <w:p>
            <w:pPr>
              <w:pStyle w:val="Normal"/>
              <w:keepNext w:val="true"/>
              <w:widowControl w:val="false"/>
              <w:pBdr/>
              <w:spacing w:before="0" w:after="240"/>
              <w:ind w:hanging="2"/>
              <w:jc w:val="center"/>
              <w:rPr>
                <w:b/>
                <w:b/>
                <w:color w:val="000000"/>
                <w:sz w:val="19"/>
                <w:szCs w:val="19"/>
              </w:rPr>
            </w:pPr>
            <w:r>
              <w:rPr>
                <w:b/>
                <w:color w:val="000000"/>
              </w:rPr>
              <w:t>d</w:t>
            </w:r>
          </w:p>
        </w:tc>
        <w:tc>
          <w:tcPr>
            <w:tcW w:w="8935" w:type="dxa"/>
            <w:tcBorders>
              <w:top w:val="single" w:sz="4" w:space="0" w:color="000000"/>
              <w:left w:val="single" w:sz="4" w:space="0" w:color="000000"/>
              <w:bottom w:val="single" w:sz="4" w:space="0" w:color="000000"/>
              <w:right w:val="single" w:sz="4" w:space="0" w:color="000000"/>
            </w:tcBorders>
          </w:tcPr>
          <w:p>
            <w:pPr>
              <w:pStyle w:val="Normal"/>
              <w:widowControl w:val="false"/>
              <w:pBdr/>
              <w:tabs>
                <w:tab w:val="clear" w:pos="720"/>
                <w:tab w:val="left" w:pos="1008" w:leader="none"/>
              </w:tabs>
              <w:ind w:right="288" w:hanging="0"/>
              <w:jc w:val="both"/>
              <w:rPr>
                <w:color w:val="0000FF"/>
              </w:rPr>
            </w:pPr>
            <w:r>
              <w:rPr>
                <w:color w:val="000000"/>
                <w:sz w:val="19"/>
                <w:szCs w:val="19"/>
              </w:rPr>
              <w:t>Proponer líneas de actuación encaminadas a mejorar la eficiencia de los procesos administrativos en los que interviene.</w:t>
            </w:r>
          </w:p>
        </w:tc>
      </w:tr>
      <w:tr>
        <w:trPr/>
        <w:tc>
          <w:tcPr>
            <w:tcW w:w="356" w:type="dxa"/>
            <w:tcBorders>
              <w:top w:val="single" w:sz="4" w:space="0" w:color="000000"/>
              <w:left w:val="single" w:sz="4" w:space="0" w:color="000000"/>
              <w:bottom w:val="single" w:sz="4" w:space="0" w:color="000000"/>
            </w:tcBorders>
          </w:tcPr>
          <w:p>
            <w:pPr>
              <w:pStyle w:val="Normal"/>
              <w:keepNext w:val="true"/>
              <w:widowControl w:val="false"/>
              <w:pBdr/>
              <w:spacing w:before="0" w:after="240"/>
              <w:ind w:hanging="2"/>
              <w:jc w:val="center"/>
              <w:rPr>
                <w:b/>
                <w:b/>
                <w:color w:val="000000"/>
                <w:sz w:val="19"/>
                <w:szCs w:val="19"/>
              </w:rPr>
            </w:pPr>
            <w:r>
              <w:rPr>
                <w:b/>
                <w:color w:val="000000"/>
              </w:rPr>
              <w:t>e</w:t>
            </w:r>
          </w:p>
        </w:tc>
        <w:tc>
          <w:tcPr>
            <w:tcW w:w="8935" w:type="dxa"/>
            <w:tcBorders>
              <w:top w:val="single" w:sz="4" w:space="0" w:color="000000"/>
              <w:left w:val="single" w:sz="4" w:space="0" w:color="000000"/>
              <w:bottom w:val="single" w:sz="4" w:space="0" w:color="000000"/>
              <w:right w:val="single" w:sz="4" w:space="0" w:color="000000"/>
            </w:tcBorders>
          </w:tcPr>
          <w:p>
            <w:pPr>
              <w:pStyle w:val="Normal"/>
              <w:widowControl w:val="false"/>
              <w:pBdr/>
              <w:tabs>
                <w:tab w:val="clear" w:pos="720"/>
                <w:tab w:val="left" w:pos="1008" w:leader="none"/>
              </w:tabs>
              <w:ind w:right="288" w:hanging="0"/>
              <w:jc w:val="both"/>
              <w:rPr>
                <w:color w:val="0000FF"/>
              </w:rPr>
            </w:pPr>
            <w:r>
              <w:rPr>
                <w:color w:val="000000"/>
                <w:sz w:val="19"/>
                <w:szCs w:val="19"/>
              </w:rPr>
              <w:t>Clasificar, registrar y archivar comunicaciones y documentos según las técnicas apropiadas y los parámetros establecidos en la empresa.</w:t>
            </w:r>
          </w:p>
        </w:tc>
      </w:tr>
      <w:tr>
        <w:trPr/>
        <w:tc>
          <w:tcPr>
            <w:tcW w:w="356" w:type="dxa"/>
            <w:tcBorders>
              <w:top w:val="single" w:sz="4" w:space="0" w:color="000000"/>
              <w:left w:val="single" w:sz="4" w:space="0" w:color="000000"/>
              <w:bottom w:val="single" w:sz="4" w:space="0" w:color="000000"/>
            </w:tcBorders>
          </w:tcPr>
          <w:p>
            <w:pPr>
              <w:pStyle w:val="Normal"/>
              <w:keepNext w:val="true"/>
              <w:widowControl w:val="false"/>
              <w:pBdr/>
              <w:spacing w:before="0" w:after="240"/>
              <w:ind w:hanging="2"/>
              <w:jc w:val="center"/>
              <w:rPr>
                <w:b/>
                <w:b/>
                <w:color w:val="000000"/>
                <w:sz w:val="19"/>
                <w:szCs w:val="19"/>
              </w:rPr>
            </w:pPr>
            <w:r>
              <w:rPr>
                <w:b/>
                <w:color w:val="000000"/>
              </w:rPr>
              <w:t>l</w:t>
            </w:r>
          </w:p>
        </w:tc>
        <w:tc>
          <w:tcPr>
            <w:tcW w:w="8935" w:type="dxa"/>
            <w:tcBorders>
              <w:top w:val="single" w:sz="4" w:space="0" w:color="000000"/>
              <w:left w:val="single" w:sz="4" w:space="0" w:color="000000"/>
              <w:bottom w:val="single" w:sz="4" w:space="0" w:color="000000"/>
              <w:right w:val="single" w:sz="4" w:space="0" w:color="000000"/>
            </w:tcBorders>
          </w:tcPr>
          <w:p>
            <w:pPr>
              <w:pStyle w:val="Normal"/>
              <w:widowControl w:val="false"/>
              <w:pBdr/>
              <w:tabs>
                <w:tab w:val="clear" w:pos="720"/>
                <w:tab w:val="left" w:pos="1008" w:leader="none"/>
              </w:tabs>
              <w:ind w:right="288" w:hanging="2"/>
              <w:jc w:val="both"/>
              <w:rPr>
                <w:color w:val="000000"/>
                <w:sz w:val="19"/>
                <w:szCs w:val="19"/>
              </w:rPr>
            </w:pPr>
            <w:r>
              <w:rPr>
                <w:color w:val="000000"/>
                <w:sz w:val="19"/>
                <w:szCs w:val="19"/>
              </w:rPr>
              <w:t xml:space="preserve"> </w:t>
            </w:r>
            <w:r>
              <w:rPr>
                <w:color w:val="000000"/>
                <w:sz w:val="19"/>
                <w:szCs w:val="19"/>
              </w:rPr>
              <w:t>Atender a los clientes/usuarios en el ámbito administrativo y comercial asegurando los niveles de calidad establecidos y ajustándose a criterios éticos y de imagen de la empresa/institución</w:t>
            </w:r>
          </w:p>
        </w:tc>
      </w:tr>
      <w:tr>
        <w:trPr/>
        <w:tc>
          <w:tcPr>
            <w:tcW w:w="356" w:type="dxa"/>
            <w:tcBorders>
              <w:top w:val="single" w:sz="4" w:space="0" w:color="000000"/>
              <w:left w:val="single" w:sz="4" w:space="0" w:color="000000"/>
              <w:bottom w:val="single" w:sz="4" w:space="0" w:color="000000"/>
            </w:tcBorders>
          </w:tcPr>
          <w:p>
            <w:pPr>
              <w:pStyle w:val="Normal"/>
              <w:keepNext w:val="true"/>
              <w:widowControl w:val="false"/>
              <w:pBdr/>
              <w:spacing w:before="0" w:after="240"/>
              <w:ind w:hanging="2"/>
              <w:jc w:val="center"/>
              <w:rPr>
                <w:b/>
                <w:b/>
                <w:color w:val="000000"/>
                <w:sz w:val="19"/>
                <w:szCs w:val="19"/>
              </w:rPr>
            </w:pPr>
            <w:r>
              <w:rPr>
                <w:b/>
                <w:color w:val="000000"/>
              </w:rPr>
              <w:t>p</w:t>
            </w:r>
          </w:p>
        </w:tc>
        <w:tc>
          <w:tcPr>
            <w:tcW w:w="8935" w:type="dxa"/>
            <w:tcBorders>
              <w:top w:val="single" w:sz="4" w:space="0" w:color="000000"/>
              <w:left w:val="single" w:sz="4" w:space="0" w:color="000000"/>
              <w:bottom w:val="single" w:sz="4" w:space="0" w:color="000000"/>
              <w:right w:val="single" w:sz="4" w:space="0" w:color="000000"/>
            </w:tcBorders>
          </w:tcPr>
          <w:p>
            <w:pPr>
              <w:pStyle w:val="Normal"/>
              <w:widowControl w:val="false"/>
              <w:ind w:right="288" w:hanging="2"/>
              <w:jc w:val="both"/>
              <w:rPr>
                <w:color w:val="0000FF"/>
              </w:rPr>
            </w:pPr>
            <w:r>
              <w:rPr>
                <w:color w:val="000000"/>
                <w:sz w:val="19"/>
                <w:szCs w:val="19"/>
              </w:rPr>
              <w:t>Comunicarse con sus iguales, superiores, clientes y personas bajo su responsabilidad, utilizando vías eficaces de comunicación, transmitiendo la información o conocimientos adecuados y respetando la autonomía y competencia de las personas que intervienen en el ámbito de su trabajo.</w:t>
            </w:r>
          </w:p>
        </w:tc>
      </w:tr>
      <w:tr>
        <w:trPr/>
        <w:tc>
          <w:tcPr>
            <w:tcW w:w="356" w:type="dxa"/>
            <w:tcBorders>
              <w:top w:val="single" w:sz="4" w:space="0" w:color="000000"/>
              <w:left w:val="single" w:sz="4" w:space="0" w:color="000000"/>
              <w:bottom w:val="single" w:sz="4" w:space="0" w:color="000000"/>
            </w:tcBorders>
          </w:tcPr>
          <w:p>
            <w:pPr>
              <w:pStyle w:val="Normal"/>
              <w:keepNext w:val="true"/>
              <w:widowControl w:val="false"/>
              <w:pBdr/>
              <w:spacing w:before="0" w:after="240"/>
              <w:ind w:hanging="2"/>
              <w:jc w:val="center"/>
              <w:rPr>
                <w:b/>
                <w:b/>
                <w:color w:val="000000"/>
              </w:rPr>
            </w:pPr>
            <w:r>
              <w:rPr>
                <w:b/>
                <w:color w:val="000000"/>
              </w:rPr>
            </w:r>
          </w:p>
        </w:tc>
        <w:tc>
          <w:tcPr>
            <w:tcW w:w="8935" w:type="dxa"/>
            <w:tcBorders>
              <w:top w:val="single" w:sz="4" w:space="0" w:color="000000"/>
              <w:left w:val="single" w:sz="4" w:space="0" w:color="000000"/>
              <w:bottom w:val="single" w:sz="4" w:space="0" w:color="000000"/>
              <w:right w:val="single" w:sz="4" w:space="0" w:color="000000"/>
            </w:tcBorders>
          </w:tcPr>
          <w:p>
            <w:pPr>
              <w:pStyle w:val="Normal"/>
              <w:widowControl w:val="false"/>
              <w:ind w:right="288" w:hanging="2"/>
              <w:jc w:val="both"/>
              <w:rPr>
                <w:color w:val="000000"/>
                <w:sz w:val="19"/>
                <w:szCs w:val="19"/>
              </w:rPr>
            </w:pPr>
            <w:r>
              <w:rPr>
                <w:color w:val="000000"/>
                <w:sz w:val="19"/>
                <w:szCs w:val="19"/>
              </w:rPr>
            </w:r>
          </w:p>
        </w:tc>
      </w:tr>
    </w:tbl>
    <w:p>
      <w:pPr>
        <w:pStyle w:val="Normal"/>
        <w:pBdr/>
        <w:tabs>
          <w:tab w:val="clear" w:pos="720"/>
          <w:tab w:val="left" w:pos="5837" w:leader="none"/>
        </w:tabs>
        <w:spacing w:lineRule="auto" w:line="480" w:before="0" w:after="120"/>
        <w:ind w:hanging="2"/>
        <w:rPr>
          <w:color w:val="000000"/>
          <w:u w:val="single"/>
        </w:rPr>
      </w:pPr>
      <w:r>
        <w:rPr>
          <w:color w:val="000000"/>
          <w:u w:val="single"/>
        </w:rPr>
      </w:r>
    </w:p>
    <w:p>
      <w:pPr>
        <w:pStyle w:val="Normal"/>
        <w:pBdr/>
        <w:tabs>
          <w:tab w:val="clear" w:pos="720"/>
          <w:tab w:val="left" w:pos="5837" w:leader="none"/>
        </w:tabs>
        <w:spacing w:lineRule="auto" w:line="480" w:before="0" w:after="120"/>
        <w:ind w:hanging="2"/>
        <w:rPr>
          <w:color w:val="000000"/>
          <w:u w:val="single"/>
        </w:rPr>
      </w:pPr>
      <w:r>
        <w:rPr>
          <w:b/>
          <w:color w:val="000000"/>
          <w:u w:val="single"/>
        </w:rPr>
        <w:t>Orientaciones pedagógicas:</w:t>
      </w:r>
    </w:p>
    <w:p>
      <w:pPr>
        <w:pStyle w:val="Normal"/>
        <w:pBdr/>
        <w:tabs>
          <w:tab w:val="clear" w:pos="720"/>
          <w:tab w:val="left" w:pos="5837" w:leader="none"/>
        </w:tabs>
        <w:spacing w:lineRule="auto" w:line="360" w:before="0" w:after="120"/>
        <w:ind w:hanging="2"/>
        <w:rPr>
          <w:color w:val="000000"/>
        </w:rPr>
      </w:pPr>
      <w:r>
        <w:rPr>
          <w:color w:val="000000"/>
        </w:rPr>
        <w:t>Este módulo profesional contiene la formación necesaria para desempeñar la función de comunicación interna y externa de la empresa, que incluye aspectos como:</w:t>
      </w:r>
    </w:p>
    <w:p>
      <w:pPr>
        <w:pStyle w:val="Normal"/>
        <w:pBdr/>
        <w:tabs>
          <w:tab w:val="clear" w:pos="720"/>
          <w:tab w:val="left" w:pos="5837" w:leader="none"/>
        </w:tabs>
        <w:spacing w:lineRule="auto" w:line="360" w:before="0" w:after="120"/>
        <w:ind w:hanging="2"/>
        <w:rPr>
          <w:color w:val="000000"/>
        </w:rPr>
      </w:pPr>
      <w:r>
        <w:rPr>
          <w:color w:val="000000"/>
        </w:rPr>
        <w:t>El desarrollo de tareas relacionadas con la comunicación interna y externa y los flujos de información interdepartamentales.</w:t>
      </w:r>
    </w:p>
    <w:p>
      <w:pPr>
        <w:pStyle w:val="Normal"/>
        <w:pBdr/>
        <w:tabs>
          <w:tab w:val="clear" w:pos="720"/>
          <w:tab w:val="left" w:pos="5837" w:leader="none"/>
        </w:tabs>
        <w:spacing w:lineRule="auto" w:line="360" w:before="0" w:after="120"/>
        <w:ind w:hanging="2"/>
        <w:rPr>
          <w:color w:val="000000"/>
        </w:rPr>
      </w:pPr>
      <w:r>
        <w:rPr>
          <w:color w:val="000000"/>
        </w:rPr>
        <w:t>El desarrollo de habilidades sociales con empleados y clientes en la comunicación oral y escrita.</w:t>
      </w:r>
    </w:p>
    <w:p>
      <w:pPr>
        <w:pStyle w:val="Normal"/>
        <w:pBdr/>
        <w:tabs>
          <w:tab w:val="clear" w:pos="720"/>
          <w:tab w:val="left" w:pos="5837" w:leader="none"/>
        </w:tabs>
        <w:spacing w:lineRule="auto" w:line="360" w:before="0" w:after="120"/>
        <w:ind w:hanging="2"/>
        <w:rPr>
          <w:color w:val="000000"/>
        </w:rPr>
      </w:pPr>
      <w:r>
        <w:rPr>
          <w:color w:val="000000"/>
        </w:rPr>
        <w:t>Los procesos de recepción, registro, distribución y recuperación de la información dentro de la empresa.</w:t>
      </w:r>
    </w:p>
    <w:p>
      <w:pPr>
        <w:pStyle w:val="Normal"/>
        <w:pBdr/>
        <w:tabs>
          <w:tab w:val="clear" w:pos="720"/>
          <w:tab w:val="left" w:pos="5837" w:leader="none"/>
        </w:tabs>
        <w:spacing w:lineRule="auto" w:line="360" w:before="0" w:after="120"/>
        <w:ind w:hanging="2"/>
        <w:rPr>
          <w:color w:val="000000"/>
        </w:rPr>
      </w:pPr>
      <w:r>
        <w:rPr>
          <w:color w:val="000000"/>
        </w:rPr>
        <w:t>Los procedimientos de gestión de quejas y el servicio posventa.</w:t>
      </w:r>
    </w:p>
    <w:p>
      <w:pPr>
        <w:pStyle w:val="Normal"/>
        <w:pBdr/>
        <w:tabs>
          <w:tab w:val="clear" w:pos="720"/>
          <w:tab w:val="left" w:pos="5837" w:leader="none"/>
        </w:tabs>
        <w:spacing w:lineRule="auto" w:line="360" w:before="0" w:after="120"/>
        <w:ind w:hanging="2"/>
        <w:rPr>
          <w:color w:val="000000"/>
        </w:rPr>
      </w:pPr>
      <w:r>
        <w:rPr>
          <w:color w:val="000000"/>
        </w:rPr>
        <w:t>Las actividades profesionales asociadas a esta función se aplican en:</w:t>
      </w:r>
    </w:p>
    <w:p>
      <w:pPr>
        <w:pStyle w:val="Normal"/>
        <w:pBdr/>
        <w:tabs>
          <w:tab w:val="clear" w:pos="720"/>
          <w:tab w:val="left" w:pos="5837" w:leader="none"/>
        </w:tabs>
        <w:spacing w:lineRule="auto" w:line="360" w:before="0" w:after="120"/>
        <w:ind w:hanging="2"/>
        <w:rPr>
          <w:color w:val="000000"/>
        </w:rPr>
      </w:pPr>
      <w:r>
        <w:rPr>
          <w:color w:val="000000"/>
        </w:rPr>
        <w:t>Todas las áreas y departamentos de pequeñas y medianas y grandes empresas de cualquier sector de actividad.</w:t>
      </w:r>
    </w:p>
    <w:p>
      <w:pPr>
        <w:pStyle w:val="Normal"/>
        <w:pBdr/>
        <w:tabs>
          <w:tab w:val="clear" w:pos="720"/>
          <w:tab w:val="left" w:pos="5837" w:leader="none"/>
        </w:tabs>
        <w:spacing w:before="480" w:after="120"/>
        <w:ind w:hanging="2"/>
        <w:rPr>
          <w:color w:val="000000"/>
          <w:u w:val="single"/>
        </w:rPr>
      </w:pPr>
      <w:r>
        <w:rPr>
          <w:b/>
          <w:color w:val="000000"/>
          <w:u w:val="single"/>
        </w:rPr>
        <w:t>Objetivos de enseñanza</w:t>
      </w:r>
    </w:p>
    <w:p>
      <w:pPr>
        <w:pStyle w:val="Normal"/>
        <w:pBdr/>
        <w:tabs>
          <w:tab w:val="clear" w:pos="720"/>
          <w:tab w:val="left" w:pos="5837" w:leader="none"/>
        </w:tabs>
        <w:spacing w:lineRule="auto" w:line="360" w:before="0" w:after="120"/>
        <w:ind w:hanging="2"/>
        <w:rPr>
          <w:color w:val="000000"/>
        </w:rPr>
      </w:pPr>
      <w:r>
        <w:rPr>
          <w:color w:val="000000"/>
        </w:rPr>
        <w:t>- Crear un clima de afecto y confianza desde el respeto y la disciplina como proceso de conquista de la autonomía personal y el disfrute.</w:t>
      </w:r>
    </w:p>
    <w:p>
      <w:pPr>
        <w:pStyle w:val="Normal"/>
        <w:pBdr/>
        <w:tabs>
          <w:tab w:val="clear" w:pos="720"/>
          <w:tab w:val="left" w:pos="5837" w:leader="none"/>
        </w:tabs>
        <w:spacing w:lineRule="auto" w:line="360" w:before="0" w:after="120"/>
        <w:ind w:hanging="2"/>
        <w:rPr>
          <w:color w:val="000000"/>
        </w:rPr>
      </w:pPr>
      <w:r>
        <w:rPr>
          <w:color w:val="000000"/>
        </w:rPr>
        <w:t>- Integrar las TIC en el proceso de enseñanza y aprendizaje.</w:t>
      </w:r>
    </w:p>
    <w:p>
      <w:pPr>
        <w:pStyle w:val="Normal"/>
        <w:pBdr/>
        <w:tabs>
          <w:tab w:val="clear" w:pos="720"/>
          <w:tab w:val="left" w:pos="5837" w:leader="none"/>
        </w:tabs>
        <w:spacing w:lineRule="auto" w:line="360" w:before="0" w:after="120"/>
        <w:ind w:hanging="2"/>
        <w:rPr>
          <w:color w:val="000000"/>
        </w:rPr>
      </w:pPr>
      <w:r>
        <w:rPr>
          <w:color w:val="000000"/>
        </w:rPr>
        <w:t>- Implicar al alumnado en sus aprendizajes y su trabajo.</w:t>
      </w:r>
    </w:p>
    <w:p>
      <w:pPr>
        <w:pStyle w:val="Normal"/>
        <w:pBdr/>
        <w:tabs>
          <w:tab w:val="clear" w:pos="720"/>
          <w:tab w:val="left" w:pos="5837" w:leader="none"/>
        </w:tabs>
        <w:spacing w:lineRule="auto" w:line="360" w:before="0" w:after="120"/>
        <w:ind w:hanging="2"/>
        <w:rPr>
          <w:color w:val="000000"/>
        </w:rPr>
      </w:pPr>
      <w:r>
        <w:rPr>
          <w:color w:val="000000"/>
        </w:rPr>
        <w:t>- Potenciar estrategias que desarrollen la interdependencia positiva.</w:t>
      </w:r>
    </w:p>
    <w:p>
      <w:pPr>
        <w:pStyle w:val="Normal"/>
        <w:keepNext w:val="true"/>
        <w:numPr>
          <w:ilvl w:val="0"/>
          <w:numId w:val="23"/>
        </w:numPr>
        <w:pBdr/>
        <w:spacing w:before="480" w:after="120"/>
        <w:ind w:left="0" w:hanging="2"/>
        <w:jc w:val="both"/>
        <w:rPr>
          <w:rFonts w:ascii="Times New Roman" w:hAnsi="Times New Roman" w:eastAsia="Times New Roman" w:cs="Times New Roman"/>
          <w:color w:val="000000"/>
        </w:rPr>
      </w:pPr>
      <w:r>
        <w:rPr>
          <w:rFonts w:eastAsia="Times New Roman" w:cs="Times New Roman" w:ascii="Times New Roman" w:hAnsi="Times New Roman"/>
          <w:b/>
          <w:color w:val="000000"/>
        </w:rPr>
        <w:t>METODOLOGÍA DIDÁCTICA</w:t>
      </w:r>
    </w:p>
    <w:p>
      <w:pPr>
        <w:pStyle w:val="Normal"/>
        <w:spacing w:lineRule="auto" w:line="360"/>
        <w:ind w:hanging="2"/>
        <w:jc w:val="both"/>
        <w:rPr/>
      </w:pPr>
      <w:r>
        <w:rPr/>
        <w:t xml:space="preserve">Es necesario tener en cuenta las </w:t>
      </w:r>
      <w:r>
        <w:rPr>
          <w:b/>
        </w:rPr>
        <w:t xml:space="preserve">preconcepciones del alumno/a </w:t>
      </w:r>
      <w:r>
        <w:rPr/>
        <w:t>acerca de la comunicación y la atención al cliente. Nos acercaremos a estas ideas previas a través de la evaluación inicial, con la prueba inicial y al comienzo de cada unidad de trabajo con lluvia de ideas,  intentando además despertar su curiosidad por la temática en cuestión.</w:t>
      </w:r>
    </w:p>
    <w:p>
      <w:pPr>
        <w:pStyle w:val="Normal"/>
        <w:pBdr/>
        <w:spacing w:lineRule="auto" w:line="360"/>
        <w:ind w:hanging="2"/>
        <w:jc w:val="both"/>
        <w:rPr>
          <w:color w:val="000000"/>
        </w:rPr>
      </w:pPr>
      <w:r>
        <w:rPr>
          <w:color w:val="000000"/>
        </w:rPr>
        <w:t xml:space="preserve">La metodología a aplicar será </w:t>
      </w:r>
      <w:r>
        <w:rPr>
          <w:b/>
          <w:color w:val="000000"/>
        </w:rPr>
        <w:t>activa</w:t>
      </w:r>
      <w:r>
        <w:rPr>
          <w:color w:val="000000"/>
        </w:rPr>
        <w:t>, para que así fomente la participación de todo el alumnado. El objetivo último de la metodología es propiciar en el alumno lo que se denomina como “</w:t>
      </w:r>
      <w:r>
        <w:rPr>
          <w:b/>
          <w:color w:val="000000"/>
        </w:rPr>
        <w:t>aprender a aprender</w:t>
      </w:r>
      <w:r>
        <w:rPr>
          <w:color w:val="000000"/>
        </w:rPr>
        <w:t xml:space="preserve">”, es decir, que el alumnado una vez terminados sus estudios, sea capaz de ir construyendo su propio aprendizaje. Por este motivo el aprendizaje debe ser inexcusablemente </w:t>
      </w:r>
      <w:r>
        <w:rPr>
          <w:b/>
          <w:color w:val="000000"/>
        </w:rPr>
        <w:t>significativo y funcional</w:t>
      </w:r>
      <w:r>
        <w:rPr>
          <w:color w:val="000000"/>
        </w:rPr>
        <w:t xml:space="preserve"> (es decir, que lo que aprendido sirva para poder aplicarlo, tanto en el presente como en el futuro), fomentando  la autonomía del alumnado, creatividad y emprendimiento.</w:t>
      </w:r>
    </w:p>
    <w:p>
      <w:pPr>
        <w:pStyle w:val="Normal"/>
        <w:pBdr/>
        <w:spacing w:lineRule="auto" w:line="360"/>
        <w:ind w:hanging="2"/>
        <w:jc w:val="both"/>
        <w:rPr>
          <w:color w:val="000000"/>
        </w:rPr>
      </w:pPr>
      <w:r>
        <w:rPr>
          <w:color w:val="000000"/>
        </w:rPr>
        <w:t>La metodología puede variar según el contenido, el alumnado, los objetivos o el contexto y se tendrán en cuenta, en la medida de lo posible, las condiciones psicológicas del que aprende.</w:t>
      </w:r>
    </w:p>
    <w:p>
      <w:pPr>
        <w:pStyle w:val="Normal"/>
        <w:pBdr/>
        <w:spacing w:lineRule="auto" w:line="360"/>
        <w:ind w:hanging="2"/>
        <w:jc w:val="both"/>
        <w:rPr>
          <w:color w:val="000000"/>
        </w:rPr>
      </w:pPr>
      <w:r>
        <w:rPr>
          <w:color w:val="000000"/>
        </w:rPr>
        <w:t>Se proporcionará  continuamente información al alumnado sobre el momento de proceso de  enseñanza y aprendizaje en el que se encuentra así como de las dificultades  que tiene que superar.</w:t>
      </w:r>
    </w:p>
    <w:p>
      <w:pPr>
        <w:pStyle w:val="Normal"/>
        <w:spacing w:lineRule="auto" w:line="360"/>
        <w:ind w:hanging="2"/>
        <w:jc w:val="both"/>
        <w:rPr/>
      </w:pPr>
      <w:r>
        <w:rPr/>
        <w:t xml:space="preserve">Potenciaré la participación del alumnado en </w:t>
      </w:r>
      <w:r>
        <w:rPr>
          <w:b/>
        </w:rPr>
        <w:t>las tareas de clase</w:t>
      </w:r>
      <w:r>
        <w:rPr/>
        <w:t>. Solicitaré la realización de actividades  en clase para su corrección en el aula y puesta en común, tanto escritas como orales.</w:t>
      </w:r>
    </w:p>
    <w:p>
      <w:pPr>
        <w:pStyle w:val="Normal"/>
        <w:pBdr/>
        <w:spacing w:lineRule="auto" w:line="360"/>
        <w:ind w:hanging="2"/>
        <w:jc w:val="both"/>
        <w:rPr>
          <w:color w:val="000000"/>
        </w:rPr>
      </w:pPr>
      <w:r>
        <w:rPr>
          <w:color w:val="000000"/>
        </w:rPr>
        <w:t>Se establecerán debates en clase y se fomentará el sentido crítico. Además se realizarán actividades similares a las realizadas  en el mercado laboral.</w:t>
      </w:r>
    </w:p>
    <w:p>
      <w:pPr>
        <w:pStyle w:val="Normal"/>
        <w:pBdr/>
        <w:spacing w:lineRule="auto" w:line="360"/>
        <w:ind w:hanging="2"/>
        <w:jc w:val="both"/>
        <w:rPr>
          <w:color w:val="000000"/>
        </w:rPr>
      </w:pPr>
      <w:r>
        <w:rPr>
          <w:color w:val="000000"/>
        </w:rPr>
      </w:r>
    </w:p>
    <w:p>
      <w:pPr>
        <w:pStyle w:val="Normal"/>
        <w:pBdr/>
        <w:spacing w:lineRule="auto" w:line="360"/>
        <w:ind w:hanging="2"/>
        <w:jc w:val="both"/>
        <w:rPr>
          <w:color w:val="000000"/>
        </w:rPr>
      </w:pPr>
      <w:r>
        <w:rPr/>
        <w:t>Utilizaremos los medios informáticos como herramienta que permitirá el desarrollo de las diferentes actividades y ejercicios: aplicaciones informáticas y el uso de la plataforma CLASSROOM  como herramienta para compartir e intercambiar archivos.</w:t>
      </w:r>
    </w:p>
    <w:p>
      <w:pPr>
        <w:pStyle w:val="Normal"/>
        <w:spacing w:lineRule="auto" w:line="360"/>
        <w:ind w:hanging="2"/>
        <w:jc w:val="both"/>
        <w:rPr/>
      </w:pPr>
      <w:r>
        <w:rPr/>
        <w:t xml:space="preserve">Potenciaremos el </w:t>
      </w:r>
      <w:r>
        <w:rPr>
          <w:b/>
        </w:rPr>
        <w:t>autoconocimiento</w:t>
      </w:r>
      <w:r>
        <w:rPr/>
        <w:t>, la asertividad, la empatía, la inteligencia emocional (identificación diaria de sus emociones )  y la motivación , de cara a fomentar en el aula un clima de trabajo y convivencia adecuados.</w:t>
      </w:r>
    </w:p>
    <w:p>
      <w:pPr>
        <w:pStyle w:val="Normal"/>
        <w:spacing w:lineRule="auto" w:line="360"/>
        <w:ind w:hanging="2"/>
        <w:jc w:val="both"/>
        <w:rPr/>
      </w:pPr>
      <w:r>
        <w:rPr/>
        <w:t xml:space="preserve">La teoría y la práctica constituirán un todo homogéneo. </w:t>
      </w:r>
    </w:p>
    <w:p>
      <w:pPr>
        <w:pStyle w:val="Normal"/>
        <w:spacing w:lineRule="auto" w:line="360"/>
        <w:ind w:hanging="2"/>
        <w:jc w:val="both"/>
        <w:rPr/>
      </w:pPr>
      <w:r>
        <w:rPr/>
        <w:t xml:space="preserve">Se propiciará la </w:t>
      </w:r>
      <w:r>
        <w:rPr>
          <w:b/>
        </w:rPr>
        <w:t>elaboración y maduración de conclusiones personales</w:t>
      </w:r>
      <w:r>
        <w:rPr/>
        <w:t xml:space="preserve"> acerca de los contenidos de enseñanza trabajados.</w:t>
      </w:r>
    </w:p>
    <w:p>
      <w:pPr>
        <w:pStyle w:val="Normal"/>
        <w:pBdr/>
        <w:spacing w:lineRule="auto" w:line="360"/>
        <w:ind w:hanging="2"/>
        <w:jc w:val="both"/>
        <w:rPr>
          <w:color w:val="000000"/>
        </w:rPr>
      </w:pPr>
      <w:r>
        <w:rPr>
          <w:color w:val="000000"/>
        </w:rPr>
        <w:t xml:space="preserve">Se </w:t>
      </w:r>
      <w:r>
        <w:rPr/>
        <w:t>fomentará</w:t>
      </w:r>
      <w:r>
        <w:rPr>
          <w:color w:val="000000"/>
        </w:rPr>
        <w:t xml:space="preserve">n las </w:t>
      </w:r>
      <w:r>
        <w:rPr>
          <w:b/>
          <w:color w:val="000000"/>
        </w:rPr>
        <w:t>funciones ejecutivas</w:t>
      </w:r>
      <w:r>
        <w:rPr>
          <w:color w:val="000000"/>
        </w:rPr>
        <w:t xml:space="preserve">: de </w:t>
      </w:r>
      <w:r>
        <w:rPr>
          <w:b/>
          <w:color w:val="000000"/>
        </w:rPr>
        <w:t>atención</w:t>
      </w:r>
      <w:r>
        <w:rPr>
          <w:color w:val="000000"/>
        </w:rPr>
        <w:t xml:space="preserve">, (cambiando al alumnado de pupitre (irá pasando por todas las zonas del aula)  y de acompañante, realizando actividades dinámicas y pausas activas)  </w:t>
      </w:r>
      <w:r>
        <w:rPr>
          <w:b/>
          <w:color w:val="000000"/>
        </w:rPr>
        <w:t>razonamiento</w:t>
      </w:r>
      <w:r>
        <w:rPr>
          <w:color w:val="000000"/>
        </w:rPr>
        <w:t xml:space="preserve">, </w:t>
      </w:r>
      <w:r>
        <w:rPr>
          <w:b/>
          <w:color w:val="000000"/>
        </w:rPr>
        <w:t>flexibilidad</w:t>
      </w:r>
      <w:r>
        <w:rPr>
          <w:color w:val="000000"/>
        </w:rPr>
        <w:t xml:space="preserve">,  toma de </w:t>
      </w:r>
      <w:r>
        <w:rPr>
          <w:b/>
          <w:color w:val="000000"/>
        </w:rPr>
        <w:t>decisiones</w:t>
      </w:r>
      <w:r>
        <w:rPr>
          <w:color w:val="000000"/>
        </w:rPr>
        <w:t xml:space="preserve"> (con actividades de clase individuales y en grupo), </w:t>
      </w:r>
      <w:r>
        <w:rPr>
          <w:b/>
          <w:color w:val="000000"/>
        </w:rPr>
        <w:t>organización</w:t>
      </w:r>
      <w:r>
        <w:rPr>
          <w:color w:val="000000"/>
        </w:rPr>
        <w:t xml:space="preserve">,(tareas individuales)  </w:t>
      </w:r>
      <w:r>
        <w:rPr>
          <w:b/>
          <w:color w:val="000000"/>
        </w:rPr>
        <w:t>inhibición</w:t>
      </w:r>
      <w:r>
        <w:rPr>
          <w:color w:val="000000"/>
        </w:rPr>
        <w:t xml:space="preserve"> (practicar el autocontrol con técnicas de respiración) </w:t>
      </w:r>
      <w:r>
        <w:rPr>
          <w:b/>
          <w:color w:val="000000"/>
        </w:rPr>
        <w:t>planificación</w:t>
      </w:r>
      <w:r>
        <w:rPr>
          <w:color w:val="000000"/>
        </w:rPr>
        <w:t xml:space="preserve">, fijación de </w:t>
      </w:r>
      <w:r>
        <w:rPr>
          <w:b/>
          <w:color w:val="000000"/>
        </w:rPr>
        <w:t>metas y reflexión</w:t>
      </w:r>
      <w:r>
        <w:rPr>
          <w:color w:val="000000"/>
        </w:rPr>
        <w:t xml:space="preserve"> (agenda).</w:t>
      </w:r>
    </w:p>
    <w:p>
      <w:pPr>
        <w:pStyle w:val="Normal"/>
        <w:pBdr/>
        <w:spacing w:lineRule="auto" w:line="360"/>
        <w:ind w:hanging="2"/>
        <w:jc w:val="both"/>
        <w:rPr>
          <w:color w:val="000000"/>
        </w:rPr>
      </w:pPr>
      <w:r>
        <w:rPr>
          <w:color w:val="000000"/>
          <w:u w:val="single"/>
        </w:rPr>
        <w:t>Respecto a la organización de espacios.</w:t>
      </w:r>
      <w:r>
        <w:rPr>
          <w:color w:val="000000"/>
        </w:rPr>
        <w:t xml:space="preserve"> Obviamente el grueso del proceso de enseñanza-aprendizaje se desarrollará en un aula de informática en el caso de 1º AFI A y en 1º AFI B dos horas en aula de informática y dos horas sin ordenadores debido a la indisponibilidad del centro que a ser posible, en tercer trimestre se intentará subsanar.</w:t>
      </w:r>
    </w:p>
    <w:p>
      <w:pPr>
        <w:pStyle w:val="Normal"/>
        <w:pBdr/>
        <w:spacing w:lineRule="auto" w:line="360"/>
        <w:ind w:hanging="2"/>
        <w:jc w:val="both"/>
        <w:rPr>
          <w:color w:val="000000"/>
        </w:rPr>
      </w:pPr>
      <w:r>
        <w:rPr>
          <w:color w:val="000000"/>
        </w:rPr>
        <w:t>Se saldrá al patio para realizar dinámicas de grupo  o alguna activad de clase y  al  aula ATECA.</w:t>
      </w:r>
    </w:p>
    <w:p>
      <w:pPr>
        <w:pStyle w:val="Normal"/>
        <w:pBdr/>
        <w:spacing w:lineRule="auto" w:line="360"/>
        <w:ind w:hanging="2"/>
        <w:jc w:val="both"/>
        <w:rPr>
          <w:color w:val="000000"/>
          <w:u w:val="single"/>
        </w:rPr>
      </w:pPr>
      <w:r>
        <w:rPr>
          <w:color w:val="000000"/>
          <w:u w:val="single"/>
        </w:rPr>
        <w:t>Respecto a la organización de tiempos</w:t>
      </w:r>
    </w:p>
    <w:p>
      <w:pPr>
        <w:pStyle w:val="Normal"/>
        <w:pBdr/>
        <w:spacing w:lineRule="auto" w:line="360"/>
        <w:ind w:hanging="2"/>
        <w:jc w:val="both"/>
        <w:rPr>
          <w:color w:val="000000"/>
        </w:rPr>
      </w:pPr>
      <w:r>
        <w:rPr>
          <w:color w:val="000000"/>
        </w:rPr>
        <w:t>El R.A. 2 se evaluará durante todo el curso aunque la mayor parte se impartirá en 1ª evaluación. El R.A.5 se impartirán unos criterios en 1ª evaluación, otros en 2ª .´. La agenda se evaluará desde 17 de noviembre al 29 de abril siendo su calificación la media de los días que la profesora la solicite en clase.</w:t>
      </w:r>
    </w:p>
    <w:p>
      <w:pPr>
        <w:pStyle w:val="Normal"/>
        <w:ind w:left="3" w:hanging="5"/>
        <w:rPr>
          <w:rFonts w:ascii="Engravers MT" w:hAnsi="Engravers MT" w:eastAsia="Engravers MT" w:cs="Engravers MT"/>
          <w:sz w:val="48"/>
          <w:szCs w:val="48"/>
        </w:rPr>
      </w:pPr>
      <w:r>
        <w:rPr>
          <w:rFonts w:eastAsia="Engravers MT" w:cs="Engravers MT" w:ascii="Engravers MT" w:hAnsi="Engravers MT"/>
          <w:sz w:val="48"/>
          <w:szCs w:val="48"/>
        </w:rPr>
        <w:t xml:space="preserve"> </w:t>
      </w:r>
      <w:r>
        <w:rPr>
          <w:rFonts w:eastAsia="Engravers MT" w:cs="Engravers MT" w:ascii="Engravers MT" w:hAnsi="Engravers MT"/>
          <w:sz w:val="48"/>
          <w:szCs w:val="48"/>
        </w:rPr>
        <w:t>AGENDA</w:t>
      </w:r>
    </w:p>
    <w:p>
      <w:pPr>
        <w:pStyle w:val="Normal"/>
        <w:shd w:val="clear" w:color="auto" w:fill="FFFFFF"/>
        <w:spacing w:before="0" w:after="280"/>
        <w:ind w:hanging="2"/>
        <w:jc w:val="both"/>
        <w:rPr>
          <w:rFonts w:ascii="Verdana" w:hAnsi="Verdana" w:eastAsia="Verdana" w:cs="Verdana"/>
          <w:color w:val="000000"/>
        </w:rPr>
      </w:pPr>
      <w:r>
        <w:rPr>
          <w:rFonts w:eastAsia="Verdana" w:cs="Verdana" w:ascii="Verdana" w:hAnsi="Verdana"/>
          <w:color w:val="000000"/>
        </w:rPr>
        <w:t xml:space="preserve">Para contribuir a la mejora integral del alumnado y que adquiera competencias personales que contribuyan a la consecución de los objetivos generales del ciclo formativo se entregará una agenda personalizada a todo el alumnado (elaborada por la profesora)  y será utilizada como </w:t>
      </w:r>
      <w:r>
        <w:rPr>
          <w:rFonts w:eastAsia="Verdana" w:cs="Verdana" w:ascii="Verdana" w:hAnsi="Verdana"/>
          <w:b/>
          <w:color w:val="000000"/>
        </w:rPr>
        <w:t>instrumento</w:t>
      </w:r>
      <w:r>
        <w:rPr>
          <w:rFonts w:eastAsia="Verdana" w:cs="Verdana" w:ascii="Verdana" w:hAnsi="Verdana"/>
          <w:color w:val="000000"/>
        </w:rPr>
        <w:t xml:space="preserve"> de evaluación. Además un criterio de evaluación del R.A. 1 directamente relacionado con lo que se trabaja en este instrumento (planificación, organización, control, calidad…).</w:t>
      </w:r>
    </w:p>
    <w:p>
      <w:pPr>
        <w:pStyle w:val="Normal"/>
        <w:ind w:left="2" w:hanging="4"/>
        <w:jc w:val="both"/>
        <w:rPr>
          <w:rFonts w:ascii="Times New Roman" w:hAnsi="Times New Roman" w:eastAsia="Times New Roman" w:cs="Times New Roman"/>
        </w:rPr>
      </w:pPr>
      <w:r>
        <w:rPr>
          <w:color w:val="000000"/>
          <w:sz w:val="36"/>
          <w:szCs w:val="36"/>
        </w:rPr>
        <w:t>Rellenar agenda:</w:t>
      </w:r>
      <w:r>
        <w:rPr>
          <w:color w:val="000000"/>
        </w:rPr>
        <w:t xml:space="preserve"> (se trata de que el alumnado aprenda a identificar sus emociones, planifique y reflexione sobre el uso de su tiempo y sus metas así como que sepa valorar aspectos y actividades  de su vida (agradecimientos)  y sea consciente de los  hábitos de vida saludable que lleva a cabo  con una reflexión semanal que le haga avanzar de forma académica y personal). Es muy importante que anote en la agenda la hora en que va a realizar cada actividad así como su duración.</w:t>
      </w:r>
    </w:p>
    <w:p>
      <w:pPr>
        <w:pStyle w:val="Normal"/>
        <w:ind w:hanging="2"/>
        <w:jc w:val="both"/>
        <w:rPr>
          <w:rFonts w:ascii="Times New Roman" w:hAnsi="Times New Roman" w:eastAsia="Times New Roman" w:cs="Times New Roman"/>
        </w:rPr>
      </w:pPr>
      <w:r>
        <w:rPr>
          <w:rFonts w:eastAsia="Times New Roman" w:cs="Times New Roman" w:ascii="Times New Roman" w:hAnsi="Times New Roman"/>
        </w:rPr>
      </w:r>
    </w:p>
    <w:p>
      <w:pPr>
        <w:pStyle w:val="Normal"/>
        <w:ind w:hanging="2"/>
        <w:jc w:val="both"/>
        <w:rPr>
          <w:rFonts w:ascii="Times New Roman" w:hAnsi="Times New Roman" w:eastAsia="Times New Roman" w:cs="Times New Roman"/>
        </w:rPr>
      </w:pPr>
      <w:r>
        <w:rPr>
          <w:b/>
          <w:color w:val="000000"/>
        </w:rPr>
        <w:t xml:space="preserve">Durante los días de la semana el alumnado </w:t>
      </w:r>
      <w:r>
        <w:rPr>
          <w:color w:val="000000"/>
        </w:rPr>
        <w:t xml:space="preserve"> deberá añadir  en la agenda su estado emocional. Hoy me siento…….., a continuación rellenará, con respecto al día anterior, si : Duermo 8h, Ejerc. Físico, Comida Sana, Relaciones Sociales y Agradezco (aquí daré gracias de lo mejor que tuve en el día de ayer) planificará el día e irá anotando tareas siempre indicando el horario y la duración. Seguidamente anotará el </w:t>
      </w:r>
      <w:r>
        <w:rPr>
          <w:b/>
          <w:color w:val="000000"/>
        </w:rPr>
        <w:t>Homenaje</w:t>
      </w:r>
      <w:r>
        <w:rPr>
          <w:color w:val="000000"/>
        </w:rPr>
        <w:t xml:space="preserve">  que propone para ese día (usar el móvil un tiempo determinado, ver una película o serie, tener alguna salida especial……) indicando también la duración de la actividad y programándola en la agenda.</w:t>
      </w:r>
    </w:p>
    <w:p>
      <w:pPr>
        <w:pStyle w:val="Normal"/>
        <w:ind w:hanging="2"/>
        <w:jc w:val="both"/>
        <w:rPr>
          <w:rFonts w:ascii="Times New Roman" w:hAnsi="Times New Roman" w:eastAsia="Times New Roman" w:cs="Times New Roman"/>
        </w:rPr>
      </w:pPr>
      <w:r>
        <w:rPr>
          <w:rFonts w:eastAsia="Times New Roman" w:cs="Times New Roman" w:ascii="Times New Roman" w:hAnsi="Times New Roman"/>
        </w:rPr>
      </w:r>
    </w:p>
    <w:p>
      <w:pPr>
        <w:pStyle w:val="Normal"/>
        <w:pBdr/>
        <w:ind w:hanging="2"/>
        <w:jc w:val="both"/>
        <w:rPr>
          <w:rFonts w:ascii="Times New Roman" w:hAnsi="Times New Roman" w:eastAsia="Times New Roman" w:cs="Times New Roman"/>
          <w:color w:val="000000"/>
        </w:rPr>
      </w:pPr>
      <w:r>
        <w:rPr>
          <w:rFonts w:eastAsia="Times New Roman" w:cs="Times New Roman" w:ascii="Times New Roman" w:hAnsi="Times New Roman"/>
          <w:color w:val="000000"/>
        </w:rPr>
      </w:r>
    </w:p>
    <w:p>
      <w:pPr>
        <w:pStyle w:val="Normal"/>
        <w:ind w:hanging="2"/>
        <w:jc w:val="both"/>
        <w:rPr>
          <w:rFonts w:ascii="Times New Roman" w:hAnsi="Times New Roman" w:eastAsia="Times New Roman" w:cs="Times New Roman"/>
        </w:rPr>
      </w:pPr>
      <w:r>
        <w:rPr>
          <w:rFonts w:eastAsia="Times New Roman" w:cs="Times New Roman" w:ascii="Times New Roman" w:hAnsi="Times New Roman"/>
        </w:rPr>
      </w:r>
    </w:p>
    <w:p>
      <w:pPr>
        <w:pStyle w:val="Normal"/>
        <w:ind w:hanging="2"/>
        <w:jc w:val="both"/>
        <w:rPr>
          <w:color w:val="000000"/>
        </w:rPr>
      </w:pPr>
      <w:r>
        <w:rPr>
          <w:b/>
          <w:color w:val="000000"/>
        </w:rPr>
        <w:t>VIERNES REFLEXIÓN EN HORARIO DE CLASE</w:t>
      </w:r>
    </w:p>
    <w:p>
      <w:pPr>
        <w:pStyle w:val="Normal"/>
        <w:ind w:hanging="2"/>
        <w:jc w:val="both"/>
        <w:rPr>
          <w:color w:val="000000"/>
        </w:rPr>
      </w:pPr>
      <w:r>
        <w:rPr>
          <w:color w:val="000000"/>
        </w:rPr>
      </w:r>
    </w:p>
    <w:p>
      <w:pPr>
        <w:pStyle w:val="Normal"/>
        <w:ind w:hanging="2"/>
        <w:jc w:val="both"/>
        <w:rPr>
          <w:rFonts w:ascii="Times New Roman" w:hAnsi="Times New Roman" w:eastAsia="Times New Roman" w:cs="Times New Roman"/>
        </w:rPr>
      </w:pPr>
      <w:r>
        <w:rPr>
          <w:color w:val="000000"/>
        </w:rPr>
        <w:t>1º Rellenar:  “Dificultades”,” En qué he perdido el tiempo” y cuadro resumen de la semana.</w:t>
      </w:r>
    </w:p>
    <w:p>
      <w:pPr>
        <w:pStyle w:val="Normal"/>
        <w:ind w:hanging="2"/>
        <w:jc w:val="both"/>
        <w:rPr>
          <w:rFonts w:ascii="Times New Roman" w:hAnsi="Times New Roman" w:eastAsia="Times New Roman" w:cs="Times New Roman"/>
        </w:rPr>
      </w:pPr>
      <w:r>
        <w:rPr>
          <w:color w:val="000000"/>
        </w:rPr>
        <w:t xml:space="preserve">2º Añadir en el cuadro correspondiente : tareas pendientes, objetivos próxima semana y </w:t>
      </w:r>
      <w:r>
        <w:rPr>
          <w:b/>
          <w:color w:val="000000"/>
        </w:rPr>
        <w:t xml:space="preserve">propuestas de mejora </w:t>
      </w:r>
      <w:r>
        <w:rPr>
          <w:color w:val="000000"/>
        </w:rPr>
        <w:t>que deberán  planificarse en la agenda para después poder  implementarse</w:t>
      </w:r>
    </w:p>
    <w:p>
      <w:pPr>
        <w:pStyle w:val="Normal"/>
        <w:ind w:hanging="2"/>
        <w:jc w:val="both"/>
        <w:rPr>
          <w:rFonts w:ascii="Times New Roman" w:hAnsi="Times New Roman" w:eastAsia="Times New Roman" w:cs="Times New Roman"/>
        </w:rPr>
      </w:pPr>
      <w:r>
        <w:rPr>
          <w:rFonts w:eastAsia="Times New Roman" w:cs="Times New Roman" w:ascii="Times New Roman" w:hAnsi="Times New Roman"/>
        </w:rPr>
      </w:r>
    </w:p>
    <w:p>
      <w:pPr>
        <w:pStyle w:val="Normal"/>
        <w:ind w:hanging="2"/>
        <w:jc w:val="both"/>
        <w:rPr>
          <w:rFonts w:ascii="Times New Roman" w:hAnsi="Times New Roman" w:eastAsia="Times New Roman" w:cs="Times New Roman"/>
        </w:rPr>
      </w:pPr>
      <w:r>
        <w:rPr>
          <w:color w:val="000000"/>
        </w:rPr>
        <w:t>La profesora irá realizando el seguimiento de la agenda  en días  aleatorios desde noviembre a mayo anotando una puntuación según rúbrica y la nota final será la media de todas las valoraciones realizadas durante el curso. El alumno o alumna que no esté el día de la revisión en clase por causa injustificada  o haya olvidado la agenda obtendrá una calificación de cero ese día. Si el alumno o alumna ha faltado ese día por motivo justificado no se incluirá la calificación ese día y al hacer la media no se tendrá en cuenta.</w:t>
      </w:r>
    </w:p>
    <w:p>
      <w:pPr>
        <w:pStyle w:val="Normal"/>
        <w:pBdr/>
        <w:spacing w:lineRule="auto" w:line="360"/>
        <w:ind w:hanging="0"/>
        <w:jc w:val="both"/>
        <w:rPr>
          <w:color w:val="000000"/>
        </w:rPr>
      </w:pPr>
      <w:r>
        <w:rPr>
          <w:color w:val="000000"/>
        </w:rPr>
      </w:r>
    </w:p>
    <w:p>
      <w:pPr>
        <w:pStyle w:val="Normal"/>
        <w:keepNext w:val="true"/>
        <w:spacing w:lineRule="auto" w:line="360" w:before="480" w:after="120"/>
        <w:ind w:hanging="2"/>
        <w:jc w:val="both"/>
        <w:rPr>
          <w:rFonts w:ascii="Times New Roman" w:hAnsi="Times New Roman" w:eastAsia="Times New Roman" w:cs="Times New Roman"/>
        </w:rPr>
      </w:pPr>
      <w:r>
        <w:rPr>
          <w:rFonts w:eastAsia="Times New Roman" w:cs="Times New Roman" w:ascii="Times New Roman" w:hAnsi="Times New Roman"/>
          <w:b/>
        </w:rPr>
        <w:t>MATERIALES Y RECURSOS DIDÁCTICOS</w:t>
      </w:r>
    </w:p>
    <w:p>
      <w:pPr>
        <w:pStyle w:val="Normal"/>
        <w:spacing w:lineRule="auto" w:line="360"/>
        <w:ind w:hanging="2"/>
        <w:jc w:val="both"/>
        <w:rPr/>
      </w:pPr>
      <w:r>
        <w:rPr/>
        <w:t>Los recursos didácticos y materiales curriculares que emplearemos para apoyar el desarrollo de la programación didáctica en el aula son variados. Para facilitar su exposición los organizaremos de la siguiente forma:</w:t>
      </w:r>
    </w:p>
    <w:p>
      <w:pPr>
        <w:pStyle w:val="Normal"/>
        <w:numPr>
          <w:ilvl w:val="0"/>
          <w:numId w:val="11"/>
        </w:numPr>
        <w:spacing w:lineRule="auto" w:line="360"/>
        <w:ind w:left="0" w:hanging="2"/>
        <w:jc w:val="both"/>
        <w:rPr/>
      </w:pPr>
      <w:r>
        <w:rPr/>
        <w:t>Recursos didácticos habituales como la pizarra o el material fungible, el proyector, los equipos informáticos (software y el hardware).</w:t>
      </w:r>
      <w:r>
        <w:rPr>
          <w:rFonts w:eastAsia="Helvetica Neue" w:cs="Helvetica Neue" w:ascii="Helvetica Neue" w:hAnsi="Helvetica Neue"/>
          <w:color w:val="333333"/>
          <w:sz w:val="23"/>
          <w:szCs w:val="23"/>
          <w:highlight w:val="white"/>
        </w:rPr>
        <w:t xml:space="preserve"> </w:t>
      </w:r>
    </w:p>
    <w:p>
      <w:pPr>
        <w:pStyle w:val="Normal"/>
        <w:numPr>
          <w:ilvl w:val="0"/>
          <w:numId w:val="11"/>
        </w:numPr>
        <w:spacing w:lineRule="auto" w:line="360"/>
        <w:ind w:left="0" w:hanging="2"/>
        <w:jc w:val="both"/>
        <w:rPr/>
      </w:pPr>
      <w:r>
        <w:rPr>
          <w:b/>
        </w:rPr>
        <w:t>Materiales audiovisuales:</w:t>
      </w:r>
      <w:r>
        <w:rPr/>
        <w:t> documentales, música, películas, videos … </w:t>
      </w:r>
    </w:p>
    <w:p>
      <w:pPr>
        <w:pStyle w:val="Normal"/>
        <w:numPr>
          <w:ilvl w:val="0"/>
          <w:numId w:val="11"/>
        </w:numPr>
        <w:spacing w:lineRule="auto" w:line="360"/>
        <w:ind w:left="0" w:hanging="2"/>
        <w:jc w:val="both"/>
        <w:rPr/>
      </w:pPr>
      <w:r>
        <w:rPr/>
        <w:t>Los materiales curriculares para uso del alumnado y para uso del profesorado. Distinguimos entre ellos la bibliografía de departamento, para el profesorado y para el alumnado, material propio elaborado por la profesora, material elaborado por el propio alumno o alumna en ejercicios de clase corregidos, apuntes de clase  y como recomendación el libro de texto. Respecto a este último, el alumnado podrá utilizar como consulta libro de texto “Comunicación y Atención al Cliente” de grado superior autores: Francisco Javier Ariza Ramírez y Juan Manuel Ariza Ramírez Editorial</w:t>
      </w:r>
      <w:r>
        <w:rPr>
          <w:color w:val="000000"/>
        </w:rPr>
        <w:t xml:space="preserve"> Mc Graw Hill, edición 2021, material de apoyo y consultas a páginas Web</w:t>
      </w:r>
      <w:r>
        <w:rPr>
          <w:b/>
          <w:color w:val="000000"/>
        </w:rPr>
        <w:t>.</w:t>
      </w:r>
    </w:p>
    <w:p>
      <w:pPr>
        <w:pStyle w:val="Normal"/>
        <w:numPr>
          <w:ilvl w:val="0"/>
          <w:numId w:val="11"/>
        </w:numPr>
        <w:spacing w:lineRule="auto" w:line="360"/>
        <w:ind w:left="0" w:hanging="2"/>
        <w:jc w:val="both"/>
        <w:rPr/>
      </w:pPr>
      <w:r>
        <w:rPr>
          <w:b/>
          <w:color w:val="000000"/>
        </w:rPr>
        <w:t xml:space="preserve">Libros de lectura obligatoria: </w:t>
      </w:r>
    </w:p>
    <w:p>
      <w:pPr>
        <w:pStyle w:val="Normal"/>
        <w:numPr>
          <w:ilvl w:val="0"/>
          <w:numId w:val="25"/>
        </w:numPr>
        <w:spacing w:lineRule="auto" w:line="360"/>
        <w:ind w:left="0" w:hanging="2"/>
        <w:jc w:val="both"/>
        <w:rPr/>
      </w:pPr>
      <w:r>
        <w:rPr>
          <w:color w:val="000000"/>
        </w:rPr>
        <w:t>El caballero de la armadura oxidada de Robert Fisher</w:t>
      </w:r>
    </w:p>
    <w:p>
      <w:pPr>
        <w:pStyle w:val="Normal"/>
        <w:numPr>
          <w:ilvl w:val="0"/>
          <w:numId w:val="25"/>
        </w:numPr>
        <w:spacing w:lineRule="auto" w:line="360"/>
        <w:ind w:left="0" w:hanging="2"/>
        <w:jc w:val="both"/>
        <w:rPr/>
      </w:pPr>
      <w:r>
        <w:rPr>
          <w:color w:val="000000"/>
        </w:rPr>
        <w:t>Comunicación no violenta. Un lenguaje de vida. Marshall B. Rosenberg, Ph.D.</w:t>
      </w:r>
    </w:p>
    <w:p>
      <w:pPr>
        <w:pStyle w:val="Normal"/>
        <w:numPr>
          <w:ilvl w:val="0"/>
          <w:numId w:val="11"/>
        </w:numPr>
        <w:spacing w:lineRule="auto" w:line="360"/>
        <w:ind w:left="0" w:hanging="2"/>
        <w:jc w:val="both"/>
        <w:rPr/>
      </w:pPr>
      <w:r>
        <w:rPr>
          <w:b/>
          <w:color w:val="000000"/>
        </w:rPr>
        <w:t>Agenda personalizada e individual.</w:t>
      </w:r>
    </w:p>
    <w:p>
      <w:pPr>
        <w:pStyle w:val="Normal"/>
        <w:keepNext w:val="true"/>
        <w:numPr>
          <w:ilvl w:val="0"/>
          <w:numId w:val="23"/>
        </w:numPr>
        <w:pBdr/>
        <w:spacing w:lineRule="auto" w:line="360" w:before="120" w:after="120"/>
        <w:ind w:left="0" w:hanging="2"/>
        <w:jc w:val="both"/>
        <w:rPr>
          <w:rFonts w:ascii="Times New Roman" w:hAnsi="Times New Roman" w:eastAsia="Times New Roman" w:cs="Times New Roman"/>
          <w:color w:val="000000"/>
        </w:rPr>
      </w:pPr>
      <w:r>
        <w:rPr>
          <w:rFonts w:eastAsia="Times New Roman" w:cs="Times New Roman" w:ascii="Times New Roman" w:hAnsi="Times New Roman"/>
          <w:b/>
          <w:color w:val="000000"/>
        </w:rPr>
        <w:t>CRITERIOS Y ESTRATEGIAS DE EVALUACIÓN</w:t>
      </w:r>
    </w:p>
    <w:p>
      <w:pPr>
        <w:pStyle w:val="Normal"/>
        <w:keepNext w:val="true"/>
        <w:spacing w:lineRule="auto" w:line="360"/>
        <w:ind w:hanging="2"/>
        <w:jc w:val="both"/>
        <w:rPr/>
      </w:pPr>
      <w:r>
        <w:rPr/>
        <w:t>La normativa regula, entre otros aspectos, que la evaluación del alumnado será realizada por el profesorado que imparta cada módulo profesional del ciclo formativo, de acuerdo con los resultados de aprendizaje, los criterios de evaluación y contenidos de cada módulo profesional así como las competencias y objetivos generales del ciclo formativo asociados a los mismos. </w:t>
      </w:r>
    </w:p>
    <w:p>
      <w:pPr>
        <w:pStyle w:val="Normal"/>
        <w:keepNext w:val="true"/>
        <w:spacing w:lineRule="auto" w:line="360"/>
        <w:ind w:hanging="2"/>
        <w:jc w:val="both"/>
        <w:rPr/>
      </w:pPr>
      <w:r>
        <w:rPr/>
        <w:t>La evaluación ha de ser formativa, y ha de servir para fomentar la reflexión y para orientar, el proceso educativo, por ello la evaluación tendrá que ser:</w:t>
      </w:r>
    </w:p>
    <w:p>
      <w:pPr>
        <w:pStyle w:val="Normal"/>
        <w:keepNext w:val="true"/>
        <w:spacing w:lineRule="auto" w:line="360"/>
        <w:ind w:left="567" w:hanging="0"/>
        <w:jc w:val="both"/>
        <w:rPr/>
      </w:pPr>
      <w:r>
        <w:rPr/>
        <w:t>Continua, inmersa en el proceso de enseñanza y aprendizaje.</w:t>
      </w:r>
    </w:p>
    <w:p>
      <w:pPr>
        <w:pStyle w:val="Normal"/>
        <w:keepNext w:val="true"/>
        <w:spacing w:lineRule="auto" w:line="360"/>
        <w:ind w:left="567" w:hanging="0"/>
        <w:jc w:val="both"/>
        <w:rPr/>
      </w:pPr>
      <w:r>
        <w:rPr/>
        <w:t>Integral, para considerar tanto la adquisición de nuevos conceptos, como de procedimientos, actitudes, capacidades de relación y comunicación y de desarrollo autónomo de cada estudiante.</w:t>
      </w:r>
    </w:p>
    <w:p>
      <w:pPr>
        <w:pStyle w:val="Normal"/>
        <w:keepNext w:val="true"/>
        <w:spacing w:lineRule="auto" w:line="360"/>
        <w:ind w:left="567" w:hanging="0"/>
        <w:jc w:val="both"/>
        <w:rPr/>
      </w:pPr>
      <w:r>
        <w:rPr/>
        <w:t>Individualizada, para que se ajuste a las características del proceso de aprendizaje de cada alumno y no de los alumnos en general. La evaluación individualizada suministra información al propio alumno sobre lo que ha hecho, sobre sus progresos y sobre lo que puede hacer de acuerdo con sus posibilidades.</w:t>
      </w:r>
    </w:p>
    <w:p>
      <w:pPr>
        <w:pStyle w:val="Normal"/>
        <w:keepNext w:val="true"/>
        <w:spacing w:lineRule="auto" w:line="360"/>
        <w:ind w:left="567" w:hanging="0"/>
        <w:jc w:val="both"/>
        <w:rPr/>
      </w:pPr>
      <w:r>
        <w:rPr/>
        <w:t>Orientadora, porque debe ofrecer información permanente sobre la evolución del alumno con respecto al proceso de enseñanza-aprendizaje.</w:t>
      </w:r>
    </w:p>
    <w:p>
      <w:pPr>
        <w:pStyle w:val="Normal"/>
        <w:keepNext w:val="true"/>
        <w:spacing w:lineRule="auto" w:line="360"/>
        <w:ind w:left="567" w:hanging="0"/>
        <w:jc w:val="both"/>
        <w:rPr/>
      </w:pPr>
      <w:r>
        <w:rPr/>
        <w:t>Integradora en centro y empresa.</w:t>
      </w:r>
    </w:p>
    <w:p>
      <w:pPr>
        <w:pStyle w:val="Normal"/>
        <w:keepNext w:val="true"/>
        <w:spacing w:lineRule="auto" w:line="360"/>
        <w:ind w:hanging="2"/>
        <w:jc w:val="both"/>
        <w:rPr/>
      </w:pPr>
      <w:r>
        <w:rPr/>
        <w:t>- Mínimo 80% de asistencia para poder hacer evaluación continua. Artículo 2 .4 Orden de 18 de septiembre de 2025 que hace alusión al artículo 27.5 y 27.6 del Decreto 147/2025 en la modalidad presencial.</w:t>
      </w:r>
    </w:p>
    <w:p>
      <w:pPr>
        <w:pStyle w:val="Normal"/>
        <w:keepNext w:val="true"/>
        <w:spacing w:lineRule="auto" w:line="360"/>
        <w:ind w:hanging="2"/>
        <w:jc w:val="both"/>
        <w:rPr/>
      </w:pPr>
      <w:r>
        <w:rPr/>
        <w:t>“</w:t>
      </w:r>
      <w:r>
        <w:rPr/>
        <w:t>El profesorado hará uso de instrumentos de evaluación variados, diversos y adaptados a las distintas situaciones de aprendizaje que permitan la valoración objetiva de todo el alumnado”.</w:t>
      </w:r>
    </w:p>
    <w:p>
      <w:pPr>
        <w:pStyle w:val="Normal"/>
        <w:keepNext w:val="true"/>
        <w:spacing w:lineRule="auto" w:line="360"/>
        <w:ind w:hanging="2"/>
        <w:jc w:val="both"/>
        <w:rPr/>
      </w:pPr>
      <w:r>
        <w:rPr/>
        <w:t>“</w:t>
      </w:r>
      <w:r>
        <w:rPr/>
        <w:t>El profesorado evaluará tanto los aprendizajes del alumnado como los procesos de enseñanza y su propia práctica docente”.</w:t>
      </w:r>
    </w:p>
    <w:p>
      <w:pPr>
        <w:pStyle w:val="Normal"/>
        <w:keepNext w:val="true"/>
        <w:spacing w:lineRule="auto" w:line="360"/>
        <w:ind w:hanging="2"/>
        <w:jc w:val="both"/>
        <w:rPr/>
      </w:pPr>
      <w:r>
        <w:rPr/>
        <w:t>Para evaluar los aprendizajes del alumnado, se podrán utilizar  instrumentos tales como exámenes, cuestionarios de libros de lectura,  formularios, presentaciones, exposiciones orales, pruebas de edición de documentos, escalas de observación, diarios de aprendizaje, rúbricas o portfolios, agenda,  entre otros, coherentes con los criterios de evaluación y con las características específicas del alumnado garantizando así que la evaluación responde al principio de atención a la diversidad y a las diferencias individuales. Se fomentarán los procesos de coevaluación, evaluación entre iguales, así como la autoevaluación del alumnado, potenciando la capacidad del mismo para juzgar sus logros respecto a una tarea determinada.</w:t>
      </w:r>
    </w:p>
    <w:p>
      <w:pPr>
        <w:pStyle w:val="Normal"/>
        <w:keepNext w:val="true"/>
        <w:spacing w:lineRule="auto" w:line="360"/>
        <w:ind w:hanging="2"/>
        <w:jc w:val="both"/>
        <w:rPr/>
      </w:pPr>
      <w:r>
        <w:rPr/>
      </w:r>
    </w:p>
    <w:p>
      <w:pPr>
        <w:pStyle w:val="Normal"/>
        <w:keepNext w:val="true"/>
        <w:spacing w:lineRule="auto" w:line="360"/>
        <w:ind w:hanging="2"/>
        <w:jc w:val="both"/>
        <w:rPr/>
      </w:pPr>
      <w:r>
        <w:rPr/>
      </w:r>
    </w:p>
    <w:p>
      <w:pPr>
        <w:pStyle w:val="Normal"/>
        <w:keepNext w:val="true"/>
        <w:spacing w:lineRule="auto" w:line="360"/>
        <w:ind w:hanging="0"/>
        <w:jc w:val="both"/>
        <w:rPr/>
      </w:pPr>
      <w:r>
        <w:rPr/>
      </w:r>
    </w:p>
    <w:p>
      <w:pPr>
        <w:pStyle w:val="Normal"/>
        <w:keepNext w:val="true"/>
        <w:spacing w:lineRule="auto" w:line="360"/>
        <w:ind w:hanging="2"/>
        <w:jc w:val="both"/>
        <w:rPr/>
      </w:pPr>
      <w:r>
        <w:rPr/>
      </w:r>
    </w:p>
    <w:p>
      <w:pPr>
        <w:pStyle w:val="Normal"/>
        <w:keepNext w:val="true"/>
        <w:spacing w:lineRule="auto" w:line="360"/>
        <w:ind w:hanging="2"/>
        <w:jc w:val="both"/>
        <w:rPr/>
      </w:pPr>
      <w:r>
        <w:rPr/>
        <w:drawing>
          <wp:inline distT="0" distB="0" distL="0" distR="0">
            <wp:extent cx="6296025" cy="4191000"/>
            <wp:effectExtent l="0" t="0" r="0" b="0"/>
            <wp:docPr id="1" name="Imagen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
                    <pic:cNvPicPr>
                      <a:picLocks noChangeAspect="1" noChangeArrowheads="1"/>
                    </pic:cNvPicPr>
                  </pic:nvPicPr>
                  <pic:blipFill>
                    <a:blip r:embed="rId2"/>
                    <a:stretch>
                      <a:fillRect/>
                    </a:stretch>
                  </pic:blipFill>
                  <pic:spPr bwMode="auto">
                    <a:xfrm>
                      <a:off x="0" y="0"/>
                      <a:ext cx="6296025" cy="4191000"/>
                    </a:xfrm>
                    <a:prstGeom prst="rect">
                      <a:avLst/>
                    </a:prstGeom>
                  </pic:spPr>
                </pic:pic>
              </a:graphicData>
            </a:graphic>
          </wp:inline>
        </w:drawing>
      </w:r>
    </w:p>
    <w:p>
      <w:pPr>
        <w:pStyle w:val="Normal"/>
        <w:ind w:hanging="2"/>
        <w:rPr/>
      </w:pPr>
      <w:r>
        <w:rPr/>
      </w:r>
    </w:p>
    <w:p>
      <w:pPr>
        <w:pStyle w:val="Normal"/>
        <w:ind w:hanging="2"/>
        <w:rPr/>
      </w:pPr>
      <w:r>
        <w:rPr/>
      </w:r>
    </w:p>
    <w:p>
      <w:pPr>
        <w:pStyle w:val="Normal"/>
        <w:ind w:hanging="2"/>
        <w:rPr/>
      </w:pPr>
      <w:r>
        <w:rPr/>
        <w:drawing>
          <wp:inline distT="0" distB="0" distL="0" distR="0">
            <wp:extent cx="6286500" cy="4581525"/>
            <wp:effectExtent l="0" t="0" r="0" b="0"/>
            <wp:docPr id="2" name="Imagen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
                    <pic:cNvPicPr>
                      <a:picLocks noChangeAspect="1" noChangeArrowheads="1"/>
                    </pic:cNvPicPr>
                  </pic:nvPicPr>
                  <pic:blipFill>
                    <a:blip r:embed="rId3"/>
                    <a:stretch>
                      <a:fillRect/>
                    </a:stretch>
                  </pic:blipFill>
                  <pic:spPr bwMode="auto">
                    <a:xfrm>
                      <a:off x="0" y="0"/>
                      <a:ext cx="6286500" cy="4581525"/>
                    </a:xfrm>
                    <a:prstGeom prst="rect">
                      <a:avLst/>
                    </a:prstGeom>
                  </pic:spPr>
                </pic:pic>
              </a:graphicData>
            </a:graphic>
          </wp:inline>
        </w:drawing>
      </w:r>
    </w:p>
    <w:p>
      <w:pPr>
        <w:pStyle w:val="Normal"/>
        <w:ind w:hanging="2"/>
        <w:rPr/>
      </w:pPr>
      <w:r>
        <w:rPr/>
      </w:r>
    </w:p>
    <w:p>
      <w:pPr>
        <w:pStyle w:val="Normal"/>
        <w:ind w:hanging="2"/>
        <w:rPr/>
      </w:pPr>
      <w:r>
        <w:rPr/>
      </w:r>
    </w:p>
    <w:p>
      <w:pPr>
        <w:pStyle w:val="Normal"/>
        <w:ind w:hanging="2"/>
        <w:rPr/>
      </w:pPr>
      <w:r>
        <w:rPr/>
      </w:r>
    </w:p>
    <w:p>
      <w:pPr>
        <w:pStyle w:val="Normal"/>
        <w:ind w:hanging="2"/>
        <w:rPr/>
      </w:pPr>
      <w:r>
        <w:rPr/>
      </w:r>
    </w:p>
    <w:p>
      <w:pPr>
        <w:pStyle w:val="Normal"/>
        <w:ind w:hanging="2"/>
        <w:rPr/>
      </w:pPr>
      <w:r>
        <w:rPr/>
      </w:r>
    </w:p>
    <w:p>
      <w:pPr>
        <w:pStyle w:val="Normal"/>
        <w:ind w:hanging="2"/>
        <w:rPr/>
      </w:pPr>
      <w:r>
        <w:rPr/>
        <w:drawing>
          <wp:inline distT="0" distB="0" distL="0" distR="0">
            <wp:extent cx="6296025" cy="3590925"/>
            <wp:effectExtent l="0" t="0" r="0" b="0"/>
            <wp:docPr id="3" name="Imagen 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7" descr=""/>
                    <pic:cNvPicPr>
                      <a:picLocks noChangeAspect="1" noChangeArrowheads="1"/>
                    </pic:cNvPicPr>
                  </pic:nvPicPr>
                  <pic:blipFill>
                    <a:blip r:embed="rId4"/>
                    <a:stretch>
                      <a:fillRect/>
                    </a:stretch>
                  </pic:blipFill>
                  <pic:spPr bwMode="auto">
                    <a:xfrm>
                      <a:off x="0" y="0"/>
                      <a:ext cx="6296025" cy="3590925"/>
                    </a:xfrm>
                    <a:prstGeom prst="rect">
                      <a:avLst/>
                    </a:prstGeom>
                  </pic:spPr>
                </pic:pic>
              </a:graphicData>
            </a:graphic>
          </wp:inline>
        </w:drawing>
      </w:r>
    </w:p>
    <w:p>
      <w:pPr>
        <w:pStyle w:val="Normal"/>
        <w:keepNext w:val="true"/>
        <w:spacing w:lineRule="auto" w:line="360"/>
        <w:ind w:hanging="2"/>
        <w:jc w:val="both"/>
        <w:rPr/>
      </w:pPr>
      <w:r>
        <w:rPr/>
      </w:r>
    </w:p>
    <w:p>
      <w:pPr>
        <w:pStyle w:val="Normal"/>
        <w:keepNext w:val="true"/>
        <w:spacing w:lineRule="auto" w:line="360"/>
        <w:ind w:hanging="2"/>
        <w:jc w:val="both"/>
        <w:rPr/>
      </w:pPr>
      <w:r>
        <w:rPr/>
        <w:drawing>
          <wp:inline distT="0" distB="0" distL="0" distR="0">
            <wp:extent cx="6296025" cy="5095875"/>
            <wp:effectExtent l="0" t="0" r="0" b="0"/>
            <wp:docPr id="4" name="Imagen 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
                    <pic:cNvPicPr>
                      <a:picLocks noChangeAspect="1" noChangeArrowheads="1"/>
                    </pic:cNvPicPr>
                  </pic:nvPicPr>
                  <pic:blipFill>
                    <a:blip r:embed="rId5"/>
                    <a:stretch>
                      <a:fillRect/>
                    </a:stretch>
                  </pic:blipFill>
                  <pic:spPr bwMode="auto">
                    <a:xfrm>
                      <a:off x="0" y="0"/>
                      <a:ext cx="6296025" cy="5095875"/>
                    </a:xfrm>
                    <a:prstGeom prst="rect">
                      <a:avLst/>
                    </a:prstGeom>
                  </pic:spPr>
                </pic:pic>
              </a:graphicData>
            </a:graphic>
          </wp:inline>
        </w:drawing>
      </w:r>
    </w:p>
    <w:p>
      <w:pPr>
        <w:pStyle w:val="Normal"/>
        <w:keepNext w:val="true"/>
        <w:spacing w:lineRule="auto" w:line="360"/>
        <w:ind w:hanging="2"/>
        <w:jc w:val="both"/>
        <w:rPr/>
      </w:pPr>
      <w:r>
        <w:rPr/>
      </w:r>
    </w:p>
    <w:p>
      <w:pPr>
        <w:pStyle w:val="Normal"/>
        <w:keepNext w:val="true"/>
        <w:spacing w:lineRule="auto" w:line="360"/>
        <w:ind w:hanging="2"/>
        <w:jc w:val="both"/>
        <w:rPr/>
      </w:pPr>
      <w:r>
        <w:rPr/>
        <w:drawing>
          <wp:inline distT="0" distB="0" distL="0" distR="0">
            <wp:extent cx="6301740" cy="2766060"/>
            <wp:effectExtent l="0" t="0" r="0" b="0"/>
            <wp:docPr id="5" name="image6.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6.png" descr=""/>
                    <pic:cNvPicPr>
                      <a:picLocks noChangeAspect="1" noChangeArrowheads="1"/>
                    </pic:cNvPicPr>
                  </pic:nvPicPr>
                  <pic:blipFill>
                    <a:blip r:embed="rId6"/>
                    <a:stretch>
                      <a:fillRect/>
                    </a:stretch>
                  </pic:blipFill>
                  <pic:spPr bwMode="auto">
                    <a:xfrm>
                      <a:off x="0" y="0"/>
                      <a:ext cx="6301740" cy="2766060"/>
                    </a:xfrm>
                    <a:prstGeom prst="rect">
                      <a:avLst/>
                    </a:prstGeom>
                  </pic:spPr>
                </pic:pic>
              </a:graphicData>
            </a:graphic>
          </wp:inline>
        </w:drawing>
      </w:r>
    </w:p>
    <w:p>
      <w:pPr>
        <w:pStyle w:val="Normal"/>
        <w:keepNext w:val="true"/>
        <w:spacing w:lineRule="auto" w:line="360"/>
        <w:ind w:hanging="2"/>
        <w:jc w:val="both"/>
        <w:rPr/>
      </w:pPr>
      <w:r>
        <w:rPr/>
        <w:drawing>
          <wp:inline distT="0" distB="0" distL="0" distR="0">
            <wp:extent cx="6294120" cy="4335780"/>
            <wp:effectExtent l="0" t="0" r="0" b="0"/>
            <wp:docPr id="6" name="image7.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7.png" descr=""/>
                    <pic:cNvPicPr>
                      <a:picLocks noChangeAspect="1" noChangeArrowheads="1"/>
                    </pic:cNvPicPr>
                  </pic:nvPicPr>
                  <pic:blipFill>
                    <a:blip r:embed="rId7"/>
                    <a:stretch>
                      <a:fillRect/>
                    </a:stretch>
                  </pic:blipFill>
                  <pic:spPr bwMode="auto">
                    <a:xfrm>
                      <a:off x="0" y="0"/>
                      <a:ext cx="6294120" cy="4335780"/>
                    </a:xfrm>
                    <a:prstGeom prst="rect">
                      <a:avLst/>
                    </a:prstGeom>
                  </pic:spPr>
                </pic:pic>
              </a:graphicData>
            </a:graphic>
          </wp:inline>
        </w:drawing>
      </w:r>
    </w:p>
    <w:p>
      <w:pPr>
        <w:pStyle w:val="Normal"/>
        <w:keepNext w:val="true"/>
        <w:spacing w:lineRule="auto" w:line="360"/>
        <w:ind w:hanging="2"/>
        <w:jc w:val="both"/>
        <w:rPr/>
      </w:pPr>
      <w:r>
        <w:rPr/>
        <w:drawing>
          <wp:inline distT="0" distB="0" distL="0" distR="0">
            <wp:extent cx="6296025" cy="5210175"/>
            <wp:effectExtent l="0" t="0" r="0" b="0"/>
            <wp:docPr id="7" name="Imagen 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8" descr=""/>
                    <pic:cNvPicPr>
                      <a:picLocks noChangeAspect="1" noChangeArrowheads="1"/>
                    </pic:cNvPicPr>
                  </pic:nvPicPr>
                  <pic:blipFill>
                    <a:blip r:embed="rId8"/>
                    <a:stretch>
                      <a:fillRect/>
                    </a:stretch>
                  </pic:blipFill>
                  <pic:spPr bwMode="auto">
                    <a:xfrm>
                      <a:off x="0" y="0"/>
                      <a:ext cx="6296025" cy="5210175"/>
                    </a:xfrm>
                    <a:prstGeom prst="rect">
                      <a:avLst/>
                    </a:prstGeom>
                  </pic:spPr>
                </pic:pic>
              </a:graphicData>
            </a:graphic>
          </wp:inline>
        </w:drawing>
      </w:r>
    </w:p>
    <w:p>
      <w:pPr>
        <w:pStyle w:val="Normal"/>
        <w:keepNext w:val="true"/>
        <w:spacing w:lineRule="auto" w:line="360"/>
        <w:ind w:hanging="2"/>
        <w:jc w:val="both"/>
        <w:rPr/>
      </w:pPr>
      <w:r>
        <w:rPr/>
        <w:t xml:space="preserve">En el caso en el </w:t>
      </w:r>
      <w:r>
        <w:rPr>
          <w:b/>
          <w:u w:val="single"/>
        </w:rPr>
        <w:t>que no se imparta  en la fase de formación en empresas</w:t>
      </w:r>
      <w:r>
        <w:rPr/>
        <w:t xml:space="preserve"> algún criterio o criterios, el porcentaje de este o de estos, será repartido entre los criterios que sí han sido evaluados. En el caso en el que sea en clase normal donde no se imparta algún criterio, también se prorrateará el porcentaje entre el resto de criterios del mismo R.A.</w:t>
      </w:r>
    </w:p>
    <w:p>
      <w:pPr>
        <w:pStyle w:val="Normal"/>
        <w:numPr>
          <w:ilvl w:val="1"/>
          <w:numId w:val="23"/>
        </w:numPr>
        <w:pBdr/>
        <w:spacing w:before="480" w:after="0"/>
        <w:ind w:left="0" w:hanging="2"/>
        <w:jc w:val="both"/>
        <w:rPr/>
      </w:pPr>
      <w:r>
        <w:rPr>
          <w:b/>
          <w:color w:val="000000"/>
        </w:rPr>
        <w:t>Procedimientos de evaluación.</w:t>
      </w:r>
      <w:r>
        <w:rPr>
          <w:color w:val="000000"/>
        </w:rPr>
        <w:t xml:space="preserve"> </w:t>
      </w:r>
    </w:p>
    <w:p>
      <w:pPr>
        <w:pStyle w:val="Normal"/>
        <w:spacing w:before="480" w:after="0"/>
        <w:ind w:hanging="2"/>
        <w:jc w:val="both"/>
        <w:rPr>
          <w:u w:val="single"/>
        </w:rPr>
      </w:pPr>
      <w:r>
        <w:rPr/>
        <w:t xml:space="preserve">7.1.1. </w:t>
      </w:r>
      <w:r>
        <w:rPr>
          <w:b/>
          <w:u w:val="single"/>
        </w:rPr>
        <w:t>Evaluación inicial o diagnóstica</w:t>
      </w:r>
    </w:p>
    <w:p>
      <w:pPr>
        <w:pStyle w:val="Normal"/>
        <w:spacing w:before="480" w:after="0"/>
        <w:ind w:hanging="2"/>
        <w:jc w:val="both"/>
        <w:rPr/>
      </w:pPr>
      <w:r>
        <w:rPr/>
        <w:t>Comentada con anterioridad</w:t>
      </w:r>
    </w:p>
    <w:p>
      <w:pPr>
        <w:pStyle w:val="Normal"/>
        <w:spacing w:lineRule="auto" w:line="360" w:before="480" w:after="0"/>
        <w:ind w:hanging="2"/>
        <w:jc w:val="both"/>
        <w:rPr>
          <w:u w:val="single"/>
        </w:rPr>
      </w:pPr>
      <w:r>
        <w:rPr>
          <w:b/>
          <w:u w:val="single"/>
        </w:rPr>
        <w:t>7.1.2.Sesiones de evaluación parcial</w:t>
      </w:r>
    </w:p>
    <w:p>
      <w:pPr>
        <w:pStyle w:val="Normal"/>
        <w:spacing w:lineRule="auto" w:line="360"/>
        <w:ind w:hanging="2"/>
        <w:jc w:val="both"/>
        <w:rPr/>
      </w:pPr>
      <w:r>
        <w:rPr/>
        <w:t>Primera evaluación, segunda evaluación y evaluación final (no antes del 10 de junio).  Después habrá otra evaluación final, no antes del 22 de junio.</w:t>
      </w:r>
    </w:p>
    <w:p>
      <w:pPr>
        <w:pStyle w:val="Normal"/>
        <w:numPr>
          <w:ilvl w:val="0"/>
          <w:numId w:val="18"/>
        </w:numPr>
        <w:pBdr/>
        <w:spacing w:lineRule="auto" w:line="360"/>
        <w:ind w:left="0" w:hanging="2"/>
        <w:jc w:val="both"/>
        <w:rPr>
          <w:color w:val="000000"/>
        </w:rPr>
      </w:pPr>
      <w:r>
        <w:rPr>
          <w:color w:val="000000"/>
        </w:rPr>
        <w:t xml:space="preserve">Se evaluará con  </w:t>
      </w:r>
      <w:r>
        <w:rPr>
          <w:b/>
          <w:color w:val="000000"/>
        </w:rPr>
        <w:t xml:space="preserve">técnicas escritas, técnicas orales, técnicas basadas en ejecución práctica. Podrán ser exámenes escritos, orales, proyectos, actividades, tareas </w:t>
      </w:r>
      <w:r>
        <w:rPr>
          <w:color w:val="000000"/>
        </w:rPr>
        <w:t xml:space="preserve"> tanto individuales como en  equipo. Podrán utilizarse como instrumentos:  diarios de aprendizaje, diarios de trabajo,  control de tareas del alumnado, control de pruebas orales y/o  escritas, debates, infografías, mapas conceptuales, esquemas, resúmenes,  kahoot, </w:t>
      </w:r>
      <w:r>
        <w:rPr/>
        <w:t>Google Forms, proyectos en equipo, exposiciones orales, roleplays, agenda, cuestionarios sobre la lectura de libros</w:t>
      </w:r>
      <w:r>
        <w:rPr>
          <w:color w:val="000000"/>
        </w:rPr>
        <w:t xml:space="preserve"> … Las actividades en equipo se  evaluarán con  rúbricas.</w:t>
      </w:r>
    </w:p>
    <w:p>
      <w:pPr>
        <w:pStyle w:val="Normal"/>
        <w:keepNext w:val="true"/>
        <w:spacing w:lineRule="auto" w:line="360" w:before="480" w:after="0"/>
        <w:ind w:hanging="2"/>
        <w:jc w:val="both"/>
        <w:rPr/>
      </w:pPr>
      <w:r>
        <w:rPr>
          <w:b/>
          <w:u w:val="single"/>
        </w:rPr>
        <w:t>Pruebas de control tipo examen</w:t>
      </w:r>
      <w:r>
        <w:rPr/>
        <w:t xml:space="preserve">. </w:t>
      </w:r>
    </w:p>
    <w:p>
      <w:pPr>
        <w:pStyle w:val="Normal"/>
        <w:keepNext w:val="true"/>
        <w:spacing w:lineRule="auto" w:line="360"/>
        <w:ind w:hanging="2"/>
        <w:jc w:val="both"/>
        <w:rPr/>
      </w:pPr>
      <w:r>
        <w:rPr/>
        <w:t xml:space="preserve">Se podrá incluir tanto parte práctica como teórica para llevar un seguimiento individual del aprendizaje. Podrán incluirse cuestiones sobre las actividades complementarias o extraescolares realizadas además de todos los temas tratados en clase incluso el visionado de vídeos. </w:t>
      </w:r>
      <w:r>
        <w:rPr>
          <w:color w:val="000000"/>
        </w:rPr>
        <w:t xml:space="preserve"> </w:t>
      </w:r>
      <w:r>
        <w:rPr/>
        <w:t>En cada prueba se especificará la valoración de cada apartado, en caso contrario todos los ítems tendrán la misma calificación. En los casos en los que indique la profesora, la prueba de control podrá ser sustituida por un trabajo que será evaluado por una rúbrica y viceversa.</w:t>
      </w:r>
    </w:p>
    <w:p>
      <w:pPr>
        <w:pStyle w:val="Normal"/>
        <w:widowControl w:val="false"/>
        <w:spacing w:lineRule="auto" w:line="360"/>
        <w:ind w:hanging="2"/>
        <w:jc w:val="both"/>
        <w:rPr/>
      </w:pPr>
      <w:r>
        <w:rPr/>
        <w:t xml:space="preserve">Si un criterio de evaluación resulta suspenso, </w:t>
      </w:r>
      <w:r>
        <w:rPr>
          <w:b/>
        </w:rPr>
        <w:t>en abril podrá recuperar la parte</w:t>
      </w:r>
      <w:r>
        <w:rPr/>
        <w:t xml:space="preserve"> correspondiente </w:t>
      </w:r>
      <w:r>
        <w:rPr>
          <w:b/>
        </w:rPr>
        <w:t>a la prueba tipo examen</w:t>
      </w:r>
      <w:r>
        <w:rPr/>
        <w:t xml:space="preserve"> que será sumada la nota (en el porcentaje correspondiente) al resto de instrumentos utilizados en ese criterio. Si el </w:t>
      </w:r>
      <w:r>
        <w:rPr>
          <w:b/>
        </w:rPr>
        <w:t>criterio está suspenso</w:t>
      </w:r>
      <w:r>
        <w:rPr/>
        <w:t xml:space="preserve"> y el examen aprobado, podrá presentarse a subir nota en el examen para ver si aprueba el criterio. En caso de seguir sin aprobar el criterio, se podrá recuperar en el </w:t>
      </w:r>
      <w:r>
        <w:rPr>
          <w:b/>
        </w:rPr>
        <w:t>periodo de recuperación de junio</w:t>
      </w:r>
      <w:r>
        <w:rPr/>
        <w:t xml:space="preserve">, indicando en ese periodo a cada alumno y alumna qué instrumento tiene que recuperar de cada criterio según indicaciones de la profesora pudiendo ser distintos de los realizados, los instrumentos y/o el contenido de estos. </w:t>
      </w:r>
    </w:p>
    <w:p>
      <w:pPr>
        <w:pStyle w:val="Normal"/>
        <w:spacing w:lineRule="auto" w:line="360"/>
        <w:ind w:hanging="2"/>
        <w:jc w:val="both"/>
        <w:rPr/>
      </w:pPr>
      <w:bookmarkStart w:id="0" w:name="_heading=h.1fob9te"/>
      <w:bookmarkEnd w:id="0"/>
      <w:r>
        <w:rPr/>
        <w:t>Los alumnos que no se presenten a una prueba tipo examen por causa justificada podrán realizarla en la fecha de la siguiente prueba, realizando en ese caso ambas, la prueba pendiente, y la fechada.</w:t>
      </w:r>
    </w:p>
    <w:p>
      <w:pPr>
        <w:pStyle w:val="Normal"/>
        <w:spacing w:lineRule="auto" w:line="360"/>
        <w:ind w:hanging="2"/>
        <w:jc w:val="both"/>
        <w:rPr/>
      </w:pPr>
      <w:r>
        <w:rPr/>
        <w:t xml:space="preserve">Los proyectos, actividades y tareas de clase deben realizarse en el horario establecido para ello en el aula bajo supervisión de la profesora considerando nula cualquier entrega no realizada en clase ya que no se puede verificar la autoría  de la misma. Si el alumno no asiste a clase ese día por causa justificada el próximo día de examen realizará además un examen de los contenidos evaluados con la tarea pero si el alumno no asiste a clase por causa injustificada la calificación será cero y podrá recuperar la actividad en el periodo de junio desde el día 10 donde el instrumento podrá ser diferente al inicial. </w:t>
      </w:r>
    </w:p>
    <w:p>
      <w:pPr>
        <w:pStyle w:val="Normal"/>
        <w:pBdr/>
        <w:spacing w:lineRule="auto" w:line="360"/>
        <w:ind w:hanging="2"/>
        <w:jc w:val="both"/>
        <w:rPr/>
      </w:pPr>
      <w:r>
        <w:rPr/>
        <w:t>La puntuación de las actividades en equipo será igual para todos sus miembros excepto en la parte de exposición oral que además podrá llevar una puntuación individual.</w:t>
      </w:r>
    </w:p>
    <w:p>
      <w:pPr>
        <w:pStyle w:val="Normal"/>
        <w:pBdr/>
        <w:spacing w:lineRule="auto" w:line="360"/>
        <w:ind w:hanging="2"/>
        <w:jc w:val="both"/>
        <w:rPr/>
      </w:pPr>
      <w:r>
        <w:rPr/>
        <w:t xml:space="preserve">En las actividades o proyectos en equipo se designarán los distintos roles y en ocasiones, deberá entregarse por escrito las funciones que cada uno de sus miembros ha desempeñado además  deberán rellenar de forma individual un diario de trabajo y hoja de reflexión incluyendo autoevaluación y coevaluación que servirá para que el alumnado reflexione sobre su desempeño. </w:t>
      </w:r>
    </w:p>
    <w:p>
      <w:pPr>
        <w:pStyle w:val="Normal"/>
        <w:pBdr/>
        <w:spacing w:lineRule="auto" w:line="360"/>
        <w:ind w:hanging="2"/>
        <w:jc w:val="both"/>
        <w:rPr>
          <w:color w:val="000000"/>
        </w:rPr>
      </w:pPr>
      <w:r>
        <w:rPr>
          <w:color w:val="000000"/>
        </w:rPr>
        <w:t xml:space="preserve">Si durante el transcurso de un examen, proyecto, actividad o tarea de evaluación algún/a alumno o alumna </w:t>
      </w:r>
      <w:r>
        <w:rPr>
          <w:b/>
          <w:color w:val="000000"/>
        </w:rPr>
        <w:t>es cogido</w:t>
      </w:r>
      <w:r>
        <w:rPr>
          <w:color w:val="000000"/>
        </w:rPr>
        <w:t xml:space="preserve"> por la profesora mirando el móvil, en otra página de internet que no sea la indicada por la profesora, realizando tareas de otro módulo o cualquier otra tarea distractora la </w:t>
      </w:r>
      <w:r>
        <w:rPr>
          <w:b/>
          <w:color w:val="000000"/>
        </w:rPr>
        <w:t>calificación en ese instrumento será cero.</w:t>
      </w:r>
    </w:p>
    <w:p>
      <w:pPr>
        <w:pStyle w:val="Normal"/>
        <w:spacing w:lineRule="auto" w:line="360" w:before="480" w:after="0"/>
        <w:ind w:hanging="2"/>
        <w:jc w:val="both"/>
        <w:rPr>
          <w:u w:val="single"/>
        </w:rPr>
      </w:pPr>
      <w:r>
        <w:rPr>
          <w:b/>
          <w:u w:val="single"/>
        </w:rPr>
        <w:t>7.1.3  Sesión de evaluación final</w:t>
      </w:r>
    </w:p>
    <w:p>
      <w:pPr>
        <w:pStyle w:val="Normal"/>
        <w:spacing w:lineRule="auto" w:line="360"/>
        <w:ind w:hanging="2"/>
        <w:jc w:val="both"/>
        <w:rPr/>
      </w:pPr>
      <w:r>
        <w:rPr>
          <w:highlight w:val="white"/>
        </w:rPr>
        <w:t>La sesión de evaluación final se realizará, con carácter general, a la finalización del régimen ordinario de clase.</w:t>
      </w:r>
    </w:p>
    <w:p>
      <w:pPr>
        <w:pStyle w:val="Normal"/>
        <w:spacing w:lineRule="auto" w:line="360"/>
        <w:ind w:hanging="2"/>
        <w:jc w:val="both"/>
        <w:rPr/>
      </w:pPr>
      <w:r>
        <w:rPr>
          <w:b/>
        </w:rPr>
        <w:t>La diferencia entre la nota de la primera evaluación final  y la segunda evaluación final dependerá de si el discente ha acudido al periodo de recuperación o subida de nota en el periodo de junio</w:t>
      </w:r>
      <w:r>
        <w:rPr/>
        <w:t>, y de sus calificaciones en este periodo. Si el alumno o alumna no asistiera a este periodo, y no realizara las pruebas correspondientes, su calificación será la misma.</w:t>
      </w:r>
    </w:p>
    <w:p>
      <w:pPr>
        <w:pStyle w:val="Normal"/>
        <w:spacing w:lineRule="auto" w:line="360" w:before="0" w:after="120"/>
        <w:ind w:hanging="2"/>
        <w:jc w:val="both"/>
        <w:rPr/>
      </w:pPr>
      <w:r>
        <w:rPr/>
        <w:t>Para que la evaluación final resulte positiva,</w:t>
      </w:r>
      <w:r>
        <w:rPr>
          <w:b/>
        </w:rPr>
        <w:t xml:space="preserve"> el alumno o alumna deberá haber superado, cada uno de  los resultados de aprendizaje así como todos sus criterios de evaluación correspondientes con una calificación igual o superior a 5. </w:t>
      </w:r>
      <w:r>
        <w:rPr/>
        <w:t>La no superación de algún criterio de evaluación o de  resultado de aprendizaje supondrá no superar el módulo profesional, independientemente de que el cálculo de la media ponderada aplicando sus respectivos porcentajes, resultase positiva, excepto en el caso en el que haya un solo criterio suspenso y  este suponga un porcentaje inferior al 10% y siempre que la media ponderada del resultado de aprendizaje sea igual o mayor que cinco.</w:t>
      </w:r>
    </w:p>
    <w:p>
      <w:pPr>
        <w:pStyle w:val="Normal"/>
        <w:spacing w:lineRule="auto" w:line="360" w:before="0" w:after="120"/>
        <w:ind w:hanging="2"/>
        <w:jc w:val="both"/>
        <w:rPr>
          <w:color w:val="111111"/>
          <w:shd w:fill="FFFFFF" w:val="clear"/>
        </w:rPr>
      </w:pPr>
      <w:r>
        <w:rPr>
          <w:color w:val="111111"/>
          <w:shd w:fill="FFFFFF" w:val="clear"/>
        </w:rPr>
        <w:t>La calificación del módulo integrará la valoración del centro y de la empresa</w:t>
      </w:r>
      <w:r>
        <w:rPr/>
        <w:t xml:space="preserve">. </w:t>
      </w:r>
      <w:r>
        <w:rPr>
          <w:color w:val="111111"/>
          <w:shd w:fill="FFFFFF" w:val="clear"/>
        </w:rPr>
        <w:t>Las personas que ejerzan la tutoría dual de empresa realizarán un informe cualitativo, en el que valorarán cada resultado de aprendizaje, o criterio de evaluación  en los términos de «Superado» o «No superado». Cuando la valoración sea «No superado», se motivará expresamente el sentido de tal decisión. Además el tutor dual de empresa asignará una calificación cualitativa de cada uno de los criterios de evaluación que realice en su empresa, indicando:</w:t>
      </w:r>
    </w:p>
    <w:tbl>
      <w:tblPr>
        <w:tblW w:w="10138" w:type="dxa"/>
        <w:jc w:val="left"/>
        <w:tblInd w:w="93" w:type="dxa"/>
        <w:tblLayout w:type="fixed"/>
        <w:tblCellMar>
          <w:top w:w="0" w:type="dxa"/>
          <w:left w:w="108" w:type="dxa"/>
          <w:bottom w:w="0" w:type="dxa"/>
          <w:right w:w="108" w:type="dxa"/>
        </w:tblCellMar>
        <w:tblLook w:val="04a0" w:noHBand="0" w:noVBand="1" w:firstColumn="1" w:lastRow="0" w:lastColumn="0" w:firstRow="1"/>
      </w:tblPr>
      <w:tblGrid>
        <w:gridCol w:w="1470"/>
        <w:gridCol w:w="1878"/>
        <w:gridCol w:w="2595"/>
        <w:gridCol w:w="4194"/>
      </w:tblGrid>
      <w:tr>
        <w:trPr/>
        <w:tc>
          <w:tcPr>
            <w:tcW w:w="147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before="0" w:after="120"/>
              <w:ind w:hanging="2"/>
              <w:jc w:val="both"/>
              <w:rPr>
                <w:color w:val="111111"/>
                <w:shd w:fill="FFFFFF" w:val="clear"/>
                <w:lang w:val="es-ES"/>
              </w:rPr>
            </w:pPr>
            <w:r>
              <w:rPr>
                <w:color w:val="111111"/>
                <w:shd w:fill="FFFFFF" w:val="clear"/>
                <w:lang w:val="es-ES"/>
              </w:rPr>
              <w:t>No sabe hacerlo</w:t>
            </w:r>
          </w:p>
        </w:tc>
        <w:tc>
          <w:tcPr>
            <w:tcW w:w="187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before="0" w:after="120"/>
              <w:ind w:hanging="2"/>
              <w:jc w:val="both"/>
              <w:rPr>
                <w:color w:val="111111"/>
                <w:shd w:fill="FFFFFF" w:val="clear"/>
                <w:lang w:val="es-ES"/>
              </w:rPr>
            </w:pPr>
            <w:r>
              <w:rPr>
                <w:color w:val="111111"/>
                <w:shd w:fill="FFFFFF" w:val="clear"/>
                <w:lang w:val="es-ES"/>
              </w:rPr>
              <w:t>Sabe hacerlo con ayuda</w:t>
            </w:r>
          </w:p>
        </w:tc>
        <w:tc>
          <w:tcPr>
            <w:tcW w:w="259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before="0" w:after="120"/>
              <w:ind w:hanging="2"/>
              <w:jc w:val="both"/>
              <w:rPr>
                <w:color w:val="111111"/>
                <w:shd w:fill="FFFFFF" w:val="clear"/>
                <w:lang w:val="es-ES"/>
              </w:rPr>
            </w:pPr>
            <w:r>
              <w:rPr>
                <w:color w:val="111111"/>
                <w:shd w:fill="FFFFFF" w:val="clear"/>
                <w:lang w:val="es-ES"/>
              </w:rPr>
              <w:t>Sabe hacerlo de manera autónoma</w:t>
            </w:r>
          </w:p>
        </w:tc>
        <w:tc>
          <w:tcPr>
            <w:tcW w:w="419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before="0" w:after="120"/>
              <w:ind w:hanging="2"/>
              <w:jc w:val="both"/>
              <w:rPr>
                <w:color w:val="111111"/>
                <w:shd w:fill="FFFFFF" w:val="clear"/>
                <w:lang w:val="es-ES"/>
              </w:rPr>
            </w:pPr>
            <w:r>
              <w:rPr>
                <w:color w:val="111111"/>
                <w:shd w:fill="FFFFFF" w:val="clear"/>
                <w:lang w:val="es-ES"/>
              </w:rPr>
              <w:t>Sabe hacerlo de manera autónoma y es capaz de enseñar a otros</w:t>
            </w:r>
          </w:p>
        </w:tc>
      </w:tr>
    </w:tbl>
    <w:p>
      <w:pPr>
        <w:pStyle w:val="Normal"/>
        <w:spacing w:lineRule="auto" w:line="360" w:before="0" w:after="120"/>
        <w:ind w:hanging="2"/>
        <w:jc w:val="both"/>
        <w:rPr>
          <w:color w:val="111111"/>
          <w:shd w:fill="FFFFFF" w:val="clear"/>
        </w:rPr>
      </w:pPr>
      <w:r>
        <w:rPr>
          <w:color w:val="111111"/>
          <w:shd w:fill="FFFFFF" w:val="clear"/>
        </w:rPr>
      </w:r>
    </w:p>
    <w:p>
      <w:pPr>
        <w:pStyle w:val="Normal"/>
        <w:spacing w:lineRule="auto" w:line="360" w:before="0" w:after="120"/>
        <w:ind w:hanging="2"/>
        <w:jc w:val="both"/>
        <w:rPr>
          <w:color w:val="111111"/>
          <w:shd w:fill="FFFFFF" w:val="clear"/>
        </w:rPr>
      </w:pPr>
      <w:r>
        <w:rPr>
          <w:color w:val="111111"/>
          <w:shd w:fill="FFFFFF" w:val="clear"/>
        </w:rPr>
        <w:t>Según acuerdo de departamento al primer ítem corresponde una nota cuantititativa de 2.5, la segunda de 5, la tercera de 7.5 y la última 10.</w:t>
      </w:r>
    </w:p>
    <w:p>
      <w:pPr>
        <w:pStyle w:val="Normal"/>
        <w:spacing w:lineRule="auto" w:line="360" w:before="0" w:after="120"/>
        <w:ind w:hanging="2"/>
        <w:jc w:val="both"/>
        <w:rPr/>
      </w:pPr>
      <w:r>
        <w:rPr>
          <w:color w:val="111111"/>
          <w:shd w:fill="FFFFFF" w:val="clear"/>
        </w:rPr>
        <w:t xml:space="preserve"> </w:t>
      </w:r>
      <w:r>
        <w:rPr>
          <w:color w:val="111111"/>
          <w:shd w:fill="FFFFFF" w:val="clear"/>
        </w:rPr>
        <w:t xml:space="preserve">Los tutores o tutoras dual de empresa podrán participar e informar de su valoración en la sesión de evaluación correspondiente según lo establecido en el proyecto educativo del centro. </w:t>
      </w:r>
      <w:bookmarkStart w:id="1" w:name="_heading=h.3znysh7"/>
      <w:bookmarkEnd w:id="1"/>
      <w:r>
        <w:rPr>
          <w:color w:val="111111"/>
          <w:shd w:fill="FFFFFF" w:val="clear"/>
        </w:rPr>
        <w:t>En el caso en el que resulte no superado podrá recuperarse en el periodo de junio con una prueba tipo examen que englobe los contenidos suspensos impartidos en la empresa. Cuando el alumno o alumna no pueda realizar la fase de formación en empresas realizará clases presenciales donde la profesora del módulo impartirá los criterios dualizados y los evaluará con pruebas tipo examen, los correspondientes al R.A.4 y Proyectos Prácticos los del R.A. 5.</w:t>
      </w:r>
    </w:p>
    <w:p>
      <w:pPr>
        <w:pStyle w:val="Normal"/>
        <w:spacing w:lineRule="auto" w:line="360" w:before="0" w:after="120"/>
        <w:ind w:hanging="2"/>
        <w:jc w:val="both"/>
        <w:rPr/>
      </w:pPr>
      <w:r>
        <w:rPr>
          <w:b/>
        </w:rPr>
        <w:t>En el caso de que algún bloque de contenido o resultado de aprendizaje, o criterio o criterios no pueda o puedan ser impartido o impartidos</w:t>
      </w:r>
      <w:r>
        <w:rPr/>
        <w:t xml:space="preserve"> y, por tanto, evaluado o evaluados, por cualquier causa (modificación de la temporalización de las distintas unidades de trabajo debido a la adaptación de la misma a los distintos ritmos de aprendizaje del alumnado, o por cualquier otra causa ajena a la organización del curso), su porcentaje correspondiente sobre la nota total se repartirá equitativamente entre los resultados de aprendizaje impartidos y evaluados o entre los distintos criterios del mismo resultado en el caso en el que sean criterios. En la formación en empresas también se realizará así a no ser que supere el 30% de los criterios en cuyo caso se explicarían los contenidos mínimos en el periodo de junio de estos criterios y se evaluarían con pruebas tipo examen o proyecto según el caso. </w:t>
      </w:r>
    </w:p>
    <w:p>
      <w:pPr>
        <w:pStyle w:val="Normal"/>
        <w:spacing w:lineRule="auto" w:line="360" w:before="0" w:after="120"/>
        <w:ind w:hanging="2"/>
        <w:jc w:val="both"/>
        <w:rPr/>
      </w:pPr>
      <w:r>
        <w:rPr/>
        <w:t xml:space="preserve">En </w:t>
      </w:r>
      <w:r>
        <w:rPr>
          <w:b/>
        </w:rPr>
        <w:t>junio se realizará una prueba tipo examen para el alumnado que tenga suspensa alguna parte (tanto de los distintos criterios o resultados de aprendizaje como de la lectura de los libros)</w:t>
      </w:r>
      <w:r>
        <w:rPr/>
        <w:t xml:space="preserve">. En el caso en el que el alumnado tenga un 5 o más en el examen pero  la ponderación siga siendo suspensa, se </w:t>
      </w:r>
      <w:r>
        <w:rPr>
          <w:b/>
        </w:rPr>
        <w:t>podrán proponer nuevas actividades o tareas</w:t>
      </w:r>
      <w:r>
        <w:rPr/>
        <w:t xml:space="preserve"> para poder recuperar las actividades realizadas durante el curso. </w:t>
      </w:r>
    </w:p>
    <w:p>
      <w:pPr>
        <w:pStyle w:val="Normal"/>
        <w:spacing w:lineRule="auto" w:line="360"/>
        <w:ind w:hanging="2"/>
        <w:jc w:val="both"/>
        <w:rPr/>
      </w:pPr>
      <w:r>
        <w:rPr/>
        <w:t>Las exposiciones orales deberán realizarse el día que la profesora indique con el mismo peso que indica en los criterios de evaluación aunque los tema de  exposición podrán ser diferentes. La última exposición oral pondera como cuatro.</w:t>
      </w:r>
    </w:p>
    <w:p>
      <w:pPr>
        <w:pStyle w:val="Normal"/>
        <w:spacing w:lineRule="auto" w:line="360"/>
        <w:ind w:hanging="2"/>
        <w:jc w:val="both"/>
        <w:rPr/>
      </w:pPr>
      <w:r>
        <w:rPr>
          <w:b/>
        </w:rPr>
        <w:t xml:space="preserve">En el caso en el que se detecte que un discente  ha copiado alguna actividad o tarea de otro, ambos puntuarán cero.  </w:t>
      </w:r>
    </w:p>
    <w:p>
      <w:pPr>
        <w:pStyle w:val="Normal"/>
        <w:spacing w:lineRule="auto" w:line="360"/>
        <w:ind w:hanging="2"/>
        <w:jc w:val="both"/>
        <w:rPr/>
      </w:pPr>
      <w:r>
        <w:rPr>
          <w:b/>
        </w:rPr>
        <w:t>Si un alumno o alumna tiene el móvil, durante el transcurso de una prueba tipo examen tendrá cero en ese examen y  perderá el derecho a la recuperación extra que la profesora realiza en abril y por tanto recuperará en junio en el periodo establecido en la normativa.</w:t>
      </w:r>
    </w:p>
    <w:p>
      <w:pPr>
        <w:pStyle w:val="Normal"/>
        <w:spacing w:lineRule="auto" w:line="360"/>
        <w:ind w:hanging="2"/>
        <w:jc w:val="both"/>
        <w:rPr/>
      </w:pPr>
      <w:r>
        <w:rPr/>
        <w:t>En el periodo de junio el alumnado que esté aprobado  también podrá presentarse a subir nota, que podrá hacerlo realizando una prueba tipo examen de todos los contenidos del módulo  que supondrá el 50% de la nota y un proyecto que supondrá el 50% o según indicaciones de la profesora.</w:t>
      </w:r>
    </w:p>
    <w:p>
      <w:pPr>
        <w:pStyle w:val="Normal"/>
        <w:spacing w:lineRule="auto" w:line="360"/>
        <w:ind w:hanging="2"/>
        <w:jc w:val="both"/>
        <w:rPr>
          <w:color w:val="111111"/>
          <w:sz w:val="23"/>
          <w:szCs w:val="23"/>
          <w:shd w:fill="FFFFFF" w:val="clear"/>
        </w:rPr>
      </w:pPr>
      <w:r>
        <w:rPr>
          <w:color w:val="111111"/>
          <w:sz w:val="23"/>
          <w:szCs w:val="23"/>
          <w:shd w:fill="FFFFFF" w:val="clear"/>
        </w:rPr>
        <w:t> </w:t>
      </w:r>
      <w:r>
        <w:rPr>
          <w:color w:val="111111"/>
          <w:sz w:val="23"/>
          <w:szCs w:val="23"/>
          <w:shd w:fill="FFFFFF" w:val="clear"/>
        </w:rPr>
        <w:t>En virtud de lo establecido del artículo 27.5 y 27.6 del Decreto 147/2025, de 17 de septiembre, en la modalidad presencial y en la parte presencial de la modalidad semipresencial, la evaluación continua de los aprendizajes requerirá la asistencia regular y obligatoria, tanto en el centro docente como en la fase de formación en empresa u organismo equiparado, de al menos el 80 por ciento de la duración total del módulo, ámbito o proyecto, a partir de la fecha en la que el alumnado se haya matriculado. </w:t>
      </w:r>
    </w:p>
    <w:p>
      <w:pPr>
        <w:pStyle w:val="Normal"/>
        <w:spacing w:lineRule="auto" w:line="360"/>
        <w:ind w:hanging="2"/>
        <w:jc w:val="both"/>
        <w:rPr/>
      </w:pPr>
      <w:r>
        <w:rPr>
          <w:color w:val="111111"/>
          <w:sz w:val="23"/>
          <w:szCs w:val="23"/>
          <w:shd w:fill="FFFFFF" w:val="clear"/>
        </w:rPr>
        <w:t xml:space="preserve">Los instrumentos de evaluación destinados al alumnado que </w:t>
      </w:r>
      <w:r>
        <w:rPr>
          <w:b/>
          <w:color w:val="111111"/>
          <w:sz w:val="23"/>
          <w:szCs w:val="23"/>
          <w:shd w:fill="FFFFFF" w:val="clear"/>
        </w:rPr>
        <w:t xml:space="preserve">haya perdido el derecho a evaluación continua </w:t>
      </w:r>
      <w:r>
        <w:rPr>
          <w:color w:val="111111"/>
          <w:sz w:val="23"/>
          <w:szCs w:val="23"/>
          <w:shd w:fill="FFFFFF" w:val="clear"/>
        </w:rPr>
        <w:t>son: examen escrito, de todos los contenidos pendientes de evaluar,  incluídos  los libros de lectura, examen oral  donde realizará una práctica oral en fecha determinada  y realización y exposición de un proyecto de empresa para evaluar algunos criterios del RA1 junto con examen.</w:t>
      </w:r>
    </w:p>
    <w:p>
      <w:pPr>
        <w:pStyle w:val="Normal"/>
        <w:pBdr/>
        <w:spacing w:lineRule="auto" w:line="360" w:before="480" w:after="0"/>
        <w:ind w:hanging="2"/>
        <w:jc w:val="both"/>
        <w:rPr/>
      </w:pPr>
      <w:r>
        <w:rPr>
          <w:b/>
          <w:color w:val="000000"/>
        </w:rPr>
        <w:t>7.2 Criterios de corrección generales de pruebas, actividades  y proyectos.</w:t>
      </w:r>
    </w:p>
    <w:p>
      <w:pPr>
        <w:pStyle w:val="Normal"/>
        <w:pBdr/>
        <w:tabs>
          <w:tab w:val="clear" w:pos="720"/>
          <w:tab w:val="center" w:pos="4252" w:leader="none"/>
          <w:tab w:val="right" w:pos="8504" w:leader="none"/>
        </w:tabs>
        <w:spacing w:lineRule="auto" w:line="360"/>
        <w:ind w:hanging="2"/>
        <w:jc w:val="both"/>
        <w:rPr>
          <w:color w:val="000000"/>
        </w:rPr>
      </w:pPr>
      <w:r>
        <w:rPr>
          <w:color w:val="000000"/>
        </w:rPr>
        <w:t>Los criterios a aplicar en las pruebas realizadas en este módulo serán los siguientes:</w:t>
      </w:r>
    </w:p>
    <w:p>
      <w:pPr>
        <w:pStyle w:val="Normal"/>
        <w:pBdr/>
        <w:tabs>
          <w:tab w:val="clear" w:pos="720"/>
          <w:tab w:val="left" w:pos="360" w:leader="none"/>
          <w:tab w:val="center" w:pos="4252" w:leader="none"/>
          <w:tab w:val="right" w:pos="8504" w:leader="none"/>
        </w:tabs>
        <w:spacing w:lineRule="auto" w:line="360"/>
        <w:ind w:hanging="2"/>
        <w:jc w:val="both"/>
        <w:rPr>
          <w:color w:val="000000"/>
        </w:rPr>
      </w:pPr>
      <w:r>
        <w:rPr>
          <w:color w:val="000000"/>
        </w:rPr>
        <w:t>En los exámenes de preguntas cortas, se valorará la concreción de la respuesta. Las preguntas tipos test mal, restan la mitad de una bien.</w:t>
      </w:r>
    </w:p>
    <w:p>
      <w:pPr>
        <w:pStyle w:val="Normal"/>
        <w:pBdr/>
        <w:tabs>
          <w:tab w:val="clear" w:pos="720"/>
          <w:tab w:val="left" w:pos="360" w:leader="none"/>
          <w:tab w:val="center" w:pos="4252" w:leader="none"/>
          <w:tab w:val="right" w:pos="8504" w:leader="none"/>
        </w:tabs>
        <w:spacing w:lineRule="auto" w:line="360"/>
        <w:ind w:hanging="2"/>
        <w:jc w:val="both"/>
        <w:rPr>
          <w:color w:val="000000"/>
        </w:rPr>
      </w:pPr>
      <w:r>
        <w:rPr>
          <w:color w:val="000000"/>
        </w:rPr>
        <w:t>En los exámenes prácticos:</w:t>
      </w:r>
    </w:p>
    <w:p>
      <w:pPr>
        <w:pStyle w:val="Normal"/>
        <w:pBdr/>
        <w:tabs>
          <w:tab w:val="clear" w:pos="720"/>
          <w:tab w:val="center" w:pos="4252" w:leader="none"/>
          <w:tab w:val="right" w:pos="8504" w:leader="none"/>
        </w:tabs>
        <w:spacing w:lineRule="auto" w:line="360"/>
        <w:ind w:left="284" w:hanging="0"/>
        <w:jc w:val="both"/>
        <w:rPr>
          <w:color w:val="000000"/>
        </w:rPr>
      </w:pPr>
      <w:r>
        <w:rPr>
          <w:color w:val="000000"/>
        </w:rPr>
        <w:t xml:space="preserve">En documentos, del R.A. 3 se valorará la correcta cumplimentación, la expresión, la ortografía, la gramática,  la estructura y el formato. En el caso en el que la estructura no sea la correcta no se tendrá en cuenta el resto. </w:t>
      </w:r>
    </w:p>
    <w:p>
      <w:pPr>
        <w:pStyle w:val="Normal"/>
        <w:numPr>
          <w:ilvl w:val="0"/>
          <w:numId w:val="15"/>
        </w:numPr>
        <w:pBdr/>
        <w:spacing w:lineRule="auto" w:line="360"/>
        <w:ind w:left="851" w:hanging="0"/>
        <w:jc w:val="both"/>
        <w:rPr>
          <w:rFonts w:ascii="Times New Roman" w:hAnsi="Times New Roman" w:eastAsia="Times New Roman" w:cs="Times New Roman"/>
          <w:color w:val="000000"/>
        </w:rPr>
      </w:pPr>
      <w:r>
        <w:rPr>
          <w:color w:val="000000"/>
        </w:rPr>
        <w:t xml:space="preserve">Si el alumnado comete faltas de ortografía o incoherencias gramaticales en los documentos de este R.A. 3 la puntuación de la pregunta en concreto, será cero aunque el contenido sea correcto. </w:t>
      </w:r>
    </w:p>
    <w:p>
      <w:pPr>
        <w:pStyle w:val="Normal"/>
        <w:pBdr/>
        <w:spacing w:lineRule="auto" w:line="360"/>
        <w:ind w:hanging="0"/>
        <w:jc w:val="both"/>
        <w:rPr>
          <w:color w:val="000000"/>
        </w:rPr>
      </w:pPr>
      <w:r>
        <w:rPr>
          <w:color w:val="000000"/>
        </w:rPr>
        <w:t>La puntuación de las preguntas se establecerá en cada una de las pruebas. De no estar especificada la puntuación de cada pregunta, tendrá la misma valoración cada una de ellas.</w:t>
      </w:r>
    </w:p>
    <w:p>
      <w:pPr>
        <w:pStyle w:val="Normal"/>
        <w:pBdr/>
        <w:spacing w:lineRule="auto" w:line="360"/>
        <w:ind w:hanging="0"/>
        <w:jc w:val="both"/>
        <w:rPr>
          <w:color w:val="000000"/>
        </w:rPr>
      </w:pPr>
      <w:r>
        <w:rPr>
          <w:color w:val="000000"/>
        </w:rPr>
        <w:t xml:space="preserve">Los ejercicios, actividades o </w:t>
      </w:r>
      <w:r>
        <w:rPr/>
        <w:t xml:space="preserve">proyectos </w:t>
      </w:r>
      <w:r>
        <w:rPr>
          <w:color w:val="000000"/>
        </w:rPr>
        <w:t xml:space="preserve">serán subidos a Classroom, siguiendo las instrucciones de la profesora, teniendo en cuenta los plazos previstos. Si una prueba evaluable, o </w:t>
      </w:r>
      <w:r>
        <w:rPr/>
        <w:t xml:space="preserve">proyecto se entrega </w:t>
      </w:r>
      <w:r>
        <w:rPr>
          <w:color w:val="000000"/>
        </w:rPr>
        <w:t xml:space="preserve">fuera de la fecha establecida, no se tendrán en cuenta hasta el periodo de recuperación de junio. </w:t>
      </w:r>
    </w:p>
    <w:p>
      <w:pPr>
        <w:pStyle w:val="Normal"/>
        <w:pBdr/>
        <w:spacing w:lineRule="auto" w:line="360"/>
        <w:ind w:hanging="0"/>
        <w:jc w:val="both"/>
        <w:rPr>
          <w:color w:val="000000"/>
        </w:rPr>
      </w:pPr>
      <w:r>
        <w:rPr>
          <w:color w:val="000000"/>
        </w:rPr>
        <w:t>En las pruebas de control podrán hacerse preguntas de las actividades complementarias y extraescolares que se hayan llevado a cabo.</w:t>
      </w:r>
    </w:p>
    <w:p>
      <w:pPr>
        <w:pStyle w:val="Normal"/>
        <w:pBdr/>
        <w:spacing w:lineRule="auto" w:line="360"/>
        <w:ind w:hanging="0"/>
        <w:jc w:val="both"/>
        <w:rPr>
          <w:color w:val="000000"/>
        </w:rPr>
      </w:pPr>
      <w:r>
        <w:rPr>
          <w:color w:val="000000"/>
        </w:rPr>
        <w:t xml:space="preserve"> </w:t>
      </w:r>
      <w:r>
        <w:rPr>
          <w:color w:val="000000"/>
        </w:rPr>
        <w:t>Si la profesora determina que ha visto a un alumno copiando en un examen (hablando con un compañero, usando el móvil, con chuletas, etc.) la calificación de esa prueba será cero.</w:t>
      </w:r>
    </w:p>
    <w:p>
      <w:pPr>
        <w:pStyle w:val="Normal"/>
        <w:ind w:hanging="2"/>
        <w:rPr/>
      </w:pPr>
      <w:r>
        <w:rPr/>
        <w:t>Rúbrica del instrumento  “Agenda”</w:t>
      </w:r>
    </w:p>
    <w:p>
      <w:pPr>
        <w:pStyle w:val="Normal"/>
        <w:spacing w:lineRule="auto" w:line="360"/>
        <w:ind w:left="567" w:right="424" w:hanging="0"/>
        <w:jc w:val="both"/>
        <w:rPr>
          <w:rFonts w:ascii="Times New Roman" w:hAnsi="Times New Roman" w:eastAsia="Times New Roman" w:cs="Times New Roman"/>
        </w:rPr>
      </w:pPr>
      <w:r>
        <w:rPr>
          <w:color w:val="000000"/>
        </w:rPr>
        <w:t xml:space="preserve">La profesora irá realizando el seguimiento de la agenda  en días  aleatorios desde noviembre a mayo anotando una puntuación según rúbrica y la nota final será la media de todas las valoraciones realizadas durante el curso. El alumno o alumna que no esté el día de la revisión en clase, o haya olvidado la agenda obtendrá una calificación de cero ese día. </w:t>
      </w:r>
    </w:p>
    <w:p>
      <w:pPr>
        <w:pStyle w:val="Normal"/>
        <w:ind w:hanging="2"/>
        <w:rPr/>
      </w:pPr>
      <w:r>
        <w:rPr/>
      </w:r>
    </w:p>
    <w:p>
      <w:pPr>
        <w:pStyle w:val="Normal"/>
        <w:ind w:hanging="2"/>
        <w:jc w:val="center"/>
        <w:rPr/>
      </w:pPr>
      <w:r>
        <w:rPr/>
      </w:r>
    </w:p>
    <w:tbl>
      <w:tblPr>
        <w:tblStyle w:val="affffff1"/>
        <w:tblW w:w="10105" w:type="dxa"/>
        <w:jc w:val="left"/>
        <w:tblInd w:w="0" w:type="dxa"/>
        <w:tblLayout w:type="fixed"/>
        <w:tblCellMar>
          <w:top w:w="0" w:type="dxa"/>
          <w:left w:w="108" w:type="dxa"/>
          <w:bottom w:w="0" w:type="dxa"/>
          <w:right w:w="108" w:type="dxa"/>
        </w:tblCellMar>
        <w:tblLook w:val="0000" w:noHBand="0" w:noVBand="0" w:firstColumn="0" w:lastRow="0" w:lastColumn="0" w:firstRow="0"/>
      </w:tblPr>
      <w:tblGrid>
        <w:gridCol w:w="2591"/>
        <w:gridCol w:w="2977"/>
        <w:gridCol w:w="2693"/>
        <w:gridCol w:w="1843"/>
      </w:tblGrid>
      <w:tr>
        <w:trPr>
          <w:trHeight w:val="2387" w:hRule="atLeast"/>
        </w:trPr>
        <w:tc>
          <w:tcPr>
            <w:tcW w:w="2591" w:type="dxa"/>
            <w:tcBorders>
              <w:top w:val="single" w:sz="4" w:space="0" w:color="000000"/>
              <w:left w:val="single" w:sz="4" w:space="0" w:color="000000"/>
              <w:bottom w:val="single" w:sz="4" w:space="0" w:color="000000"/>
              <w:right w:val="single" w:sz="4" w:space="0" w:color="000000"/>
            </w:tcBorders>
          </w:tcPr>
          <w:p>
            <w:pPr>
              <w:pStyle w:val="Normal"/>
              <w:widowControl w:val="false"/>
              <w:ind w:hanging="2"/>
              <w:jc w:val="both"/>
              <w:rPr>
                <w:rFonts w:ascii="Times New Roman" w:hAnsi="Times New Roman" w:eastAsia="Times New Roman" w:cs="Times New Roman"/>
              </w:rPr>
            </w:pPr>
            <w:r>
              <w:rPr>
                <w:rFonts w:eastAsia="Verdana" w:cs="Verdana" w:ascii="Verdana" w:hAnsi="Verdana"/>
                <w:color w:val="000000"/>
              </w:rPr>
              <w:t>Rellena todos los días de forma completa, utilizando diversidad de emociones, y distintos agradecimientos. Realiza la reflexión semanal  e indica objetivos y propuestas de mejora para la próxima semana y tiene la tarjeta de emoción correspondiente a ese día</w:t>
            </w:r>
          </w:p>
        </w:tc>
        <w:tc>
          <w:tcPr>
            <w:tcW w:w="2977" w:type="dxa"/>
            <w:tcBorders>
              <w:top w:val="single" w:sz="4" w:space="0" w:color="000000"/>
              <w:left w:val="single" w:sz="4" w:space="0" w:color="000000"/>
              <w:bottom w:val="single" w:sz="4" w:space="0" w:color="000000"/>
              <w:right w:val="single" w:sz="4" w:space="0" w:color="000000"/>
            </w:tcBorders>
          </w:tcPr>
          <w:p>
            <w:pPr>
              <w:pStyle w:val="Normal"/>
              <w:widowControl w:val="false"/>
              <w:ind w:hanging="2"/>
              <w:jc w:val="both"/>
              <w:rPr>
                <w:rFonts w:ascii="Verdana" w:hAnsi="Verdana" w:eastAsia="Verdana" w:cs="Verdana"/>
                <w:color w:val="000000"/>
              </w:rPr>
            </w:pPr>
            <w:r>
              <w:rPr>
                <w:rFonts w:eastAsia="Verdana" w:cs="Verdana" w:ascii="Verdana" w:hAnsi="Verdana"/>
                <w:color w:val="000000"/>
              </w:rPr>
              <w:t xml:space="preserve">Rellena todos los días sin que falte ningún epígrafe  y no repite emociones y agradecimientos y la reflexión semanal es adecuada pero indica </w:t>
            </w:r>
            <w:r>
              <w:rPr>
                <w:rFonts w:eastAsia="Verdana" w:cs="Verdana" w:ascii="Verdana" w:hAnsi="Verdana"/>
                <w:b/>
                <w:color w:val="000000"/>
              </w:rPr>
              <w:t>propuestas</w:t>
            </w:r>
            <w:r>
              <w:rPr>
                <w:rFonts w:eastAsia="Verdana" w:cs="Verdana" w:ascii="Verdana" w:hAnsi="Verdana"/>
                <w:color w:val="000000"/>
              </w:rPr>
              <w:t xml:space="preserve"> de mejora  aunque no especifica de  </w:t>
            </w:r>
            <w:r>
              <w:rPr>
                <w:rFonts w:eastAsia="Verdana" w:cs="Verdana" w:ascii="Verdana" w:hAnsi="Verdana"/>
                <w:b/>
                <w:color w:val="000000"/>
              </w:rPr>
              <w:t xml:space="preserve">forma clara </w:t>
            </w:r>
            <w:r>
              <w:rPr>
                <w:rFonts w:eastAsia="Verdana" w:cs="Verdana" w:ascii="Verdana" w:hAnsi="Verdana"/>
                <w:color w:val="000000"/>
              </w:rPr>
              <w:t xml:space="preserve">y coherente cómo </w:t>
            </w:r>
            <w:r>
              <w:rPr>
                <w:rFonts w:eastAsia="Verdana" w:cs="Verdana" w:ascii="Verdana" w:hAnsi="Verdana"/>
                <w:b/>
                <w:color w:val="000000"/>
              </w:rPr>
              <w:t>implementarlo</w:t>
            </w:r>
            <w:r>
              <w:rPr>
                <w:rFonts w:eastAsia="Verdana" w:cs="Verdana" w:ascii="Verdana" w:hAnsi="Verdana"/>
                <w:color w:val="000000"/>
              </w:rPr>
              <w:t>.</w:t>
            </w:r>
          </w:p>
          <w:p>
            <w:pPr>
              <w:pStyle w:val="Normal"/>
              <w:widowControl w:val="false"/>
              <w:ind w:hanging="2"/>
              <w:jc w:val="both"/>
              <w:rPr>
                <w:rFonts w:ascii="Times New Roman" w:hAnsi="Times New Roman" w:eastAsia="Times New Roman" w:cs="Times New Roman"/>
              </w:rPr>
            </w:pPr>
            <w:r>
              <w:rPr>
                <w:rFonts w:eastAsia="Verdana" w:cs="Verdana" w:ascii="Verdana" w:hAnsi="Verdana"/>
                <w:color w:val="000000"/>
              </w:rPr>
              <w:t>Tiene todo bien aunque le falta la tarjeta de la emoción correspondiente.</w:t>
            </w:r>
          </w:p>
        </w:tc>
        <w:tc>
          <w:tcPr>
            <w:tcW w:w="2693" w:type="dxa"/>
            <w:tcBorders>
              <w:top w:val="single" w:sz="4" w:space="0" w:color="000000"/>
              <w:left w:val="single" w:sz="4" w:space="0" w:color="000000"/>
              <w:bottom w:val="single" w:sz="4" w:space="0" w:color="000000"/>
              <w:right w:val="single" w:sz="4" w:space="0" w:color="000000"/>
            </w:tcBorders>
          </w:tcPr>
          <w:p>
            <w:pPr>
              <w:pStyle w:val="Normal"/>
              <w:widowControl w:val="false"/>
              <w:ind w:hanging="2"/>
              <w:jc w:val="both"/>
              <w:rPr>
                <w:rFonts w:ascii="Times New Roman" w:hAnsi="Times New Roman" w:eastAsia="Times New Roman" w:cs="Times New Roman"/>
              </w:rPr>
            </w:pPr>
            <w:r>
              <w:rPr>
                <w:rFonts w:eastAsia="Verdana" w:cs="Verdana" w:ascii="Verdana" w:hAnsi="Verdana"/>
                <w:color w:val="000000"/>
              </w:rPr>
              <w:t xml:space="preserve">Rellena todos los días aunque </w:t>
            </w:r>
            <w:r>
              <w:rPr>
                <w:rFonts w:eastAsia="Verdana" w:cs="Verdana" w:ascii="Verdana" w:hAnsi="Verdana"/>
                <w:b/>
                <w:color w:val="000000"/>
              </w:rPr>
              <w:t>repite</w:t>
            </w:r>
            <w:r>
              <w:rPr>
                <w:rFonts w:eastAsia="Verdana" w:cs="Verdana" w:ascii="Verdana" w:hAnsi="Verdana"/>
                <w:color w:val="000000"/>
              </w:rPr>
              <w:t xml:space="preserve"> algunas emociones y/o agradecimientos y/o la </w:t>
            </w:r>
            <w:r>
              <w:rPr>
                <w:rFonts w:eastAsia="Verdana" w:cs="Verdana" w:ascii="Verdana" w:hAnsi="Verdana"/>
                <w:b/>
                <w:color w:val="000000"/>
              </w:rPr>
              <w:t>reflexión</w:t>
            </w:r>
            <w:r>
              <w:rPr>
                <w:rFonts w:eastAsia="Verdana" w:cs="Verdana" w:ascii="Verdana" w:hAnsi="Verdana"/>
                <w:color w:val="000000"/>
              </w:rPr>
              <w:t xml:space="preserve"> semanal es  pobre y las  </w:t>
            </w:r>
            <w:r>
              <w:rPr>
                <w:rFonts w:eastAsia="Verdana" w:cs="Verdana" w:ascii="Verdana" w:hAnsi="Verdana"/>
                <w:b/>
                <w:color w:val="000000"/>
              </w:rPr>
              <w:t>propuestas</w:t>
            </w:r>
            <w:r>
              <w:rPr>
                <w:rFonts w:eastAsia="Verdana" w:cs="Verdana" w:ascii="Verdana" w:hAnsi="Verdana"/>
                <w:color w:val="000000"/>
              </w:rPr>
              <w:t xml:space="preserve"> de mejora son poco claras. Y cómo máximo le faltan 2 ítems de algún día.</w:t>
            </w:r>
          </w:p>
        </w:tc>
        <w:tc>
          <w:tcPr>
            <w:tcW w:w="1843" w:type="dxa"/>
            <w:tcBorders>
              <w:top w:val="single" w:sz="4" w:space="0" w:color="000000"/>
              <w:left w:val="single" w:sz="4" w:space="0" w:color="000000"/>
              <w:bottom w:val="single" w:sz="4" w:space="0" w:color="000000"/>
              <w:right w:val="single" w:sz="4" w:space="0" w:color="000000"/>
            </w:tcBorders>
          </w:tcPr>
          <w:p>
            <w:pPr>
              <w:pStyle w:val="Normal"/>
              <w:widowControl w:val="false"/>
              <w:ind w:hanging="2"/>
              <w:jc w:val="both"/>
              <w:rPr>
                <w:rFonts w:ascii="Verdana" w:hAnsi="Verdana" w:eastAsia="Verdana" w:cs="Verdana"/>
                <w:color w:val="000000"/>
              </w:rPr>
            </w:pPr>
            <w:r>
              <w:rPr>
                <w:rFonts w:eastAsia="Verdana" w:cs="Verdana" w:ascii="Verdana" w:hAnsi="Verdana"/>
                <w:color w:val="000000"/>
              </w:rPr>
              <w:t>Le falta algún día por rellenar en la semana o no rellena la reflexión semanal.</w:t>
            </w:r>
          </w:p>
          <w:p>
            <w:pPr>
              <w:pStyle w:val="Normal"/>
              <w:widowControl w:val="false"/>
              <w:ind w:hanging="2"/>
              <w:jc w:val="both"/>
              <w:rPr>
                <w:rFonts w:ascii="Times New Roman" w:hAnsi="Times New Roman" w:eastAsia="Times New Roman" w:cs="Times New Roman"/>
              </w:rPr>
            </w:pPr>
            <w:r>
              <w:rPr>
                <w:rFonts w:eastAsia="Verdana" w:cs="Verdana" w:ascii="Verdana" w:hAnsi="Verdana"/>
                <w:color w:val="000000"/>
              </w:rPr>
              <w:t>Si no asiste o si no la presenta .</w:t>
            </w:r>
          </w:p>
        </w:tc>
      </w:tr>
      <w:tr>
        <w:trPr>
          <w:trHeight w:val="514" w:hRule="atLeast"/>
        </w:trPr>
        <w:tc>
          <w:tcPr>
            <w:tcW w:w="2591" w:type="dxa"/>
            <w:tcBorders>
              <w:top w:val="single" w:sz="4" w:space="0" w:color="000000"/>
              <w:left w:val="single" w:sz="4" w:space="0" w:color="000000"/>
              <w:bottom w:val="single" w:sz="4" w:space="0" w:color="000000"/>
              <w:right w:val="single" w:sz="4" w:space="0" w:color="000000"/>
            </w:tcBorders>
          </w:tcPr>
          <w:p>
            <w:pPr>
              <w:pStyle w:val="Normal"/>
              <w:widowControl w:val="false"/>
              <w:ind w:hanging="2"/>
              <w:jc w:val="center"/>
              <w:rPr>
                <w:rFonts w:ascii="Times New Roman" w:hAnsi="Times New Roman" w:eastAsia="Times New Roman" w:cs="Times New Roman"/>
              </w:rPr>
            </w:pPr>
            <w:r>
              <w:rPr>
                <w:rFonts w:eastAsia="Verdana" w:cs="Verdana" w:ascii="Verdana" w:hAnsi="Verdana"/>
                <w:color w:val="000000"/>
              </w:rPr>
              <w:t>10</w:t>
            </w:r>
          </w:p>
        </w:tc>
        <w:tc>
          <w:tcPr>
            <w:tcW w:w="2977" w:type="dxa"/>
            <w:tcBorders>
              <w:top w:val="single" w:sz="4" w:space="0" w:color="000000"/>
              <w:left w:val="single" w:sz="4" w:space="0" w:color="000000"/>
              <w:bottom w:val="single" w:sz="4" w:space="0" w:color="000000"/>
              <w:right w:val="single" w:sz="4" w:space="0" w:color="000000"/>
            </w:tcBorders>
          </w:tcPr>
          <w:p>
            <w:pPr>
              <w:pStyle w:val="Normal"/>
              <w:widowControl w:val="false"/>
              <w:ind w:hanging="2"/>
              <w:jc w:val="center"/>
              <w:rPr>
                <w:rFonts w:ascii="Times New Roman" w:hAnsi="Times New Roman" w:eastAsia="Times New Roman" w:cs="Times New Roman"/>
              </w:rPr>
            </w:pPr>
            <w:r>
              <w:rPr>
                <w:rFonts w:eastAsia="Verdana" w:cs="Verdana" w:ascii="Verdana" w:hAnsi="Verdana"/>
                <w:color w:val="000000"/>
              </w:rPr>
              <w:t>8</w:t>
            </w:r>
          </w:p>
        </w:tc>
        <w:tc>
          <w:tcPr>
            <w:tcW w:w="2693" w:type="dxa"/>
            <w:tcBorders>
              <w:top w:val="single" w:sz="4" w:space="0" w:color="000000"/>
              <w:left w:val="single" w:sz="4" w:space="0" w:color="000000"/>
              <w:bottom w:val="single" w:sz="4" w:space="0" w:color="000000"/>
              <w:right w:val="single" w:sz="4" w:space="0" w:color="000000"/>
            </w:tcBorders>
          </w:tcPr>
          <w:p>
            <w:pPr>
              <w:pStyle w:val="Normal"/>
              <w:widowControl w:val="false"/>
              <w:ind w:hanging="2"/>
              <w:jc w:val="center"/>
              <w:rPr>
                <w:rFonts w:ascii="Times New Roman" w:hAnsi="Times New Roman" w:eastAsia="Times New Roman" w:cs="Times New Roman"/>
              </w:rPr>
            </w:pPr>
            <w:r>
              <w:rPr>
                <w:rFonts w:eastAsia="Verdana" w:cs="Verdana" w:ascii="Verdana" w:hAnsi="Verdana"/>
                <w:color w:val="000000"/>
              </w:rPr>
              <w:t>5</w:t>
            </w:r>
          </w:p>
        </w:tc>
        <w:tc>
          <w:tcPr>
            <w:tcW w:w="1843" w:type="dxa"/>
            <w:tcBorders>
              <w:top w:val="single" w:sz="4" w:space="0" w:color="000000"/>
              <w:left w:val="single" w:sz="4" w:space="0" w:color="000000"/>
              <w:bottom w:val="single" w:sz="4" w:space="0" w:color="000000"/>
              <w:right w:val="single" w:sz="4" w:space="0" w:color="000000"/>
            </w:tcBorders>
          </w:tcPr>
          <w:p>
            <w:pPr>
              <w:pStyle w:val="Normal"/>
              <w:widowControl w:val="false"/>
              <w:ind w:hanging="2"/>
              <w:jc w:val="center"/>
              <w:rPr>
                <w:rFonts w:ascii="Times New Roman" w:hAnsi="Times New Roman" w:eastAsia="Times New Roman" w:cs="Times New Roman"/>
              </w:rPr>
            </w:pPr>
            <w:r>
              <w:rPr>
                <w:rFonts w:eastAsia="Verdana" w:cs="Verdana" w:ascii="Verdana" w:hAnsi="Verdana"/>
                <w:color w:val="000000"/>
              </w:rPr>
              <w:t>0</w:t>
            </w:r>
          </w:p>
        </w:tc>
      </w:tr>
    </w:tbl>
    <w:p>
      <w:pPr>
        <w:pStyle w:val="Normal"/>
        <w:ind w:hanging="2"/>
        <w:jc w:val="center"/>
        <w:rPr/>
      </w:pPr>
      <w:r>
        <w:rPr/>
      </w:r>
    </w:p>
    <w:p>
      <w:pPr>
        <w:pStyle w:val="Normal"/>
        <w:pBdr/>
        <w:spacing w:lineRule="auto" w:line="360"/>
        <w:ind w:hanging="0"/>
        <w:jc w:val="both"/>
        <w:rPr>
          <w:color w:val="000000"/>
        </w:rPr>
      </w:pPr>
      <w:r>
        <w:rPr>
          <w:color w:val="000000"/>
        </w:rPr>
      </w:r>
    </w:p>
    <w:p>
      <w:pPr>
        <w:pStyle w:val="Normal"/>
        <w:spacing w:lineRule="auto" w:line="360"/>
        <w:ind w:hanging="2"/>
        <w:jc w:val="both"/>
        <w:rPr/>
      </w:pPr>
      <w:r>
        <w:rPr/>
        <w:t>La nota de cada evaluación se obtendrá de la siguiente manera:</w:t>
      </w:r>
    </w:p>
    <w:p>
      <w:pPr>
        <w:pStyle w:val="Normal"/>
        <w:numPr>
          <w:ilvl w:val="1"/>
          <w:numId w:val="1"/>
        </w:numPr>
        <w:pBdr/>
        <w:spacing w:lineRule="auto" w:line="360" w:before="480" w:after="0"/>
        <w:ind w:left="0" w:hanging="2"/>
        <w:jc w:val="both"/>
        <w:rPr>
          <w:color w:val="000000"/>
        </w:rPr>
      </w:pPr>
      <w:r>
        <w:rPr>
          <w:b/>
          <w:color w:val="000000"/>
        </w:rPr>
        <w:t xml:space="preserve"> </w:t>
      </w:r>
      <w:r>
        <w:rPr>
          <w:b/>
          <w:color w:val="000000"/>
        </w:rPr>
        <w:t>Obtención de la nota de evaluación.</w:t>
      </w:r>
    </w:p>
    <w:p>
      <w:pPr>
        <w:pStyle w:val="Normal"/>
        <w:numPr>
          <w:ilvl w:val="0"/>
          <w:numId w:val="19"/>
        </w:numPr>
        <w:pBdr/>
        <w:spacing w:lineRule="auto" w:line="360"/>
        <w:ind w:left="0" w:hanging="2"/>
        <w:jc w:val="both"/>
        <w:rPr>
          <w:color w:val="000000"/>
        </w:rPr>
      </w:pPr>
      <w:r>
        <w:rPr>
          <w:b/>
          <w:color w:val="000000"/>
        </w:rPr>
        <w:t>Calificación de la 1ª y 2ª evaluación informativa parcial:</w:t>
      </w:r>
    </w:p>
    <w:p>
      <w:pPr>
        <w:pStyle w:val="Normal"/>
        <w:spacing w:lineRule="auto" w:line="360"/>
        <w:ind w:hanging="2"/>
        <w:jc w:val="both"/>
        <w:rPr/>
      </w:pPr>
      <w:r>
        <w:rPr/>
        <w:t>Para obtener una calificación positiva en cada evaluación, el alumno deberá haber superado todos los Resultados de Aprendizaje o Bloques de Contenido impartidos en esa evaluación. Para superar un determinado Resultado de Aprendizaje, el alumno deberá obtener una puntuación global de 5 puntos sobre 10 en el mismo, debiéndose cumplir también que tenga aprobados cada uno de sus “Criterios de Evaluación”.</w:t>
      </w:r>
    </w:p>
    <w:p>
      <w:pPr>
        <w:pStyle w:val="Normal"/>
        <w:spacing w:lineRule="auto" w:line="360"/>
        <w:ind w:hanging="2"/>
        <w:jc w:val="both"/>
        <w:rPr/>
      </w:pPr>
      <w:r>
        <w:rPr/>
        <w:t xml:space="preserve">Para cada una de estas evaluaciones informativas parciales, se tendrán en cuenta los Resultados de Aprendizaje o Bloques de Contenidos trabajados hasta cada uno de esos momentos en el curso. . </w:t>
      </w:r>
    </w:p>
    <w:p>
      <w:pPr>
        <w:pStyle w:val="Normal"/>
        <w:spacing w:lineRule="auto" w:line="360"/>
        <w:ind w:hanging="2"/>
        <w:jc w:val="both"/>
        <w:rPr/>
      </w:pPr>
      <w:r>
        <w:rPr/>
        <w:t>En todo caso, la calificación de cada Resultado de Aprendizaje, vendrá determinada por la suma de cada uno de sus criterios de evaluación habiendo aplicado los porcentajes. Para calcular la nota de cada uno de estos criterios de evaluación habrá que calcular el porcentaje indicado a la puntuación obtenida del criterio de evaluación correspondiente, según esta programación.</w:t>
      </w:r>
    </w:p>
    <w:p>
      <w:pPr>
        <w:pStyle w:val="Normal"/>
        <w:spacing w:lineRule="auto" w:line="360"/>
        <w:ind w:hanging="2"/>
        <w:jc w:val="both"/>
        <w:rPr/>
      </w:pPr>
      <w:r>
        <w:rPr/>
        <w:t>En primera evaluación se tendrá en cuenta el R.A. 1 y  R.A. 2   ponderando los criterios de evaluación según su porcentaje.</w:t>
      </w:r>
    </w:p>
    <w:p>
      <w:pPr>
        <w:pStyle w:val="Normal"/>
        <w:spacing w:lineRule="auto" w:line="360"/>
        <w:ind w:hanging="2"/>
        <w:jc w:val="both"/>
        <w:rPr/>
      </w:pPr>
      <w:r>
        <w:rPr/>
        <w:t>En 2ª evaluación se tendrán en cuenta R.A. 3   para la calificación.</w:t>
      </w:r>
    </w:p>
    <w:p>
      <w:pPr>
        <w:pStyle w:val="Normal"/>
        <w:spacing w:lineRule="auto" w:line="360"/>
        <w:ind w:hanging="0"/>
        <w:jc w:val="both"/>
        <w:rPr/>
      </w:pPr>
      <w:bookmarkStart w:id="2" w:name="_heading=h.2et92p0"/>
      <w:bookmarkEnd w:id="2"/>
      <w:r>
        <w:rPr/>
        <w:t>En estas evaluaciones, la nota final   se hará redondeando a la baja a no ser que el decimal sea 8 o 9 que se redondeará al alza. No obstante este dato no tiene relevancia y es una mera fotografía de su evolución en el proceso enseñanza aprendizaje hasta la fecha,  ya que para la ponderación de la evaluación final, se tomarán las notas reales de los resultados de aprendizaje y sus correspondientes ponderaciones.</w:t>
      </w:r>
    </w:p>
    <w:p>
      <w:pPr>
        <w:pStyle w:val="Normal"/>
        <w:numPr>
          <w:ilvl w:val="0"/>
          <w:numId w:val="5"/>
        </w:numPr>
        <w:spacing w:lineRule="auto" w:line="360" w:before="0" w:after="120"/>
        <w:ind w:left="0" w:hanging="2"/>
        <w:jc w:val="both"/>
        <w:rPr/>
      </w:pPr>
      <w:r>
        <w:rPr>
          <w:b/>
        </w:rPr>
        <w:t>Calificación para la primera evaluación final  y para la segunda evaluación final del módulo profesional:</w:t>
      </w:r>
      <w:r>
        <w:rPr/>
        <w:t xml:space="preserve"> En caso de que el alumno haya aprobado todos los bloques de contenido superando, por tanto, todos los resultados de aprendizaje, y todos los criterios de evaluación correspondientes,  su nota final se calculará de la siguiente forma,  ponderando los resultados obtenidos por el alumnado según la siguiente tabla, independientemente de la nota obtenida en cada una de las evaluaciones parciales.</w:t>
      </w:r>
    </w:p>
    <w:p>
      <w:pPr>
        <w:pStyle w:val="Normal"/>
        <w:spacing w:lineRule="auto" w:line="360" w:before="0" w:after="120"/>
        <w:ind w:hanging="2"/>
        <w:jc w:val="both"/>
        <w:rPr/>
      </w:pPr>
      <w:r>
        <w:rPr/>
      </w:r>
    </w:p>
    <w:tbl>
      <w:tblPr>
        <w:tblStyle w:val="affffff2"/>
        <w:tblW w:w="7458" w:type="dxa"/>
        <w:jc w:val="center"/>
        <w:tblInd w:w="0" w:type="dxa"/>
        <w:tblLayout w:type="fixed"/>
        <w:tblCellMar>
          <w:top w:w="0" w:type="dxa"/>
          <w:left w:w="108" w:type="dxa"/>
          <w:bottom w:w="0" w:type="dxa"/>
          <w:right w:w="108" w:type="dxa"/>
        </w:tblCellMar>
        <w:tblLook w:val="0000" w:noHBand="0" w:noVBand="0" w:firstColumn="0" w:lastRow="0" w:lastColumn="0" w:firstRow="0"/>
      </w:tblPr>
      <w:tblGrid>
        <w:gridCol w:w="3870"/>
        <w:gridCol w:w="1701"/>
        <w:gridCol w:w="1887"/>
      </w:tblGrid>
      <w:tr>
        <w:trPr/>
        <w:tc>
          <w:tcPr>
            <w:tcW w:w="3870" w:type="dxa"/>
            <w:tcBorders>
              <w:top w:val="single" w:sz="4" w:space="0" w:color="000000"/>
              <w:left w:val="single" w:sz="4" w:space="0" w:color="000000"/>
              <w:bottom w:val="single" w:sz="4" w:space="0" w:color="000000"/>
              <w:right w:val="single" w:sz="4" w:space="0" w:color="000000"/>
            </w:tcBorders>
            <w:shd w:color="auto" w:fill="FFFFFF" w:val="clear"/>
          </w:tcPr>
          <w:p>
            <w:pPr>
              <w:pStyle w:val="Normal"/>
              <w:widowControl w:val="false"/>
              <w:spacing w:before="60" w:after="60"/>
              <w:ind w:hanging="2"/>
              <w:jc w:val="center"/>
              <w:rPr>
                <w:sz w:val="22"/>
                <w:szCs w:val="22"/>
              </w:rPr>
            </w:pPr>
            <w:r>
              <w:rPr>
                <w:b/>
                <w:sz w:val="22"/>
                <w:szCs w:val="22"/>
              </w:rPr>
              <w:t>Unidades de trabajo</w:t>
            </w:r>
          </w:p>
        </w:tc>
        <w:tc>
          <w:tcPr>
            <w:tcW w:w="1701" w:type="dxa"/>
            <w:tcBorders>
              <w:top w:val="single" w:sz="4" w:space="0" w:color="000000"/>
              <w:left w:val="single" w:sz="4" w:space="0" w:color="000000"/>
              <w:bottom w:val="single" w:sz="4" w:space="0" w:color="000000"/>
              <w:right w:val="single" w:sz="4" w:space="0" w:color="000000"/>
            </w:tcBorders>
            <w:shd w:color="auto" w:fill="FFFFFF" w:val="clear"/>
          </w:tcPr>
          <w:p>
            <w:pPr>
              <w:pStyle w:val="Normal"/>
              <w:widowControl w:val="false"/>
              <w:spacing w:before="60" w:after="60"/>
              <w:ind w:hanging="2"/>
              <w:jc w:val="center"/>
              <w:rPr>
                <w:sz w:val="22"/>
                <w:szCs w:val="22"/>
              </w:rPr>
            </w:pPr>
            <w:r>
              <w:rPr>
                <w:b/>
                <w:sz w:val="22"/>
                <w:szCs w:val="22"/>
              </w:rPr>
              <w:t>R.A.</w:t>
            </w:r>
          </w:p>
        </w:tc>
        <w:tc>
          <w:tcPr>
            <w:tcW w:w="1887" w:type="dxa"/>
            <w:tcBorders>
              <w:top w:val="single" w:sz="4" w:space="0" w:color="000000"/>
              <w:left w:val="single" w:sz="4" w:space="0" w:color="000000"/>
              <w:bottom w:val="single" w:sz="4" w:space="0" w:color="000000"/>
              <w:right w:val="single" w:sz="4" w:space="0" w:color="000000"/>
            </w:tcBorders>
            <w:shd w:color="auto" w:fill="FFFFFF" w:val="clear"/>
          </w:tcPr>
          <w:p>
            <w:pPr>
              <w:pStyle w:val="Normal"/>
              <w:widowControl w:val="false"/>
              <w:spacing w:before="60" w:after="60"/>
              <w:ind w:hanging="2"/>
              <w:jc w:val="center"/>
              <w:rPr>
                <w:sz w:val="22"/>
                <w:szCs w:val="22"/>
              </w:rPr>
            </w:pPr>
            <w:r>
              <w:rPr>
                <w:b/>
                <w:sz w:val="22"/>
                <w:szCs w:val="22"/>
              </w:rPr>
              <w:t>% sobre la nota total</w:t>
            </w:r>
          </w:p>
        </w:tc>
      </w:tr>
      <w:tr>
        <w:trPr/>
        <w:tc>
          <w:tcPr>
            <w:tcW w:w="3870" w:type="dxa"/>
            <w:tcBorders>
              <w:top w:val="single" w:sz="4" w:space="0" w:color="000000"/>
              <w:left w:val="single" w:sz="4" w:space="0" w:color="000000"/>
              <w:bottom w:val="single" w:sz="4" w:space="0" w:color="000000"/>
              <w:right w:val="single" w:sz="4" w:space="0" w:color="000000"/>
            </w:tcBorders>
            <w:shd w:color="auto" w:fill="FFFFFF" w:val="clear"/>
          </w:tcPr>
          <w:p>
            <w:pPr>
              <w:pStyle w:val="Normal"/>
              <w:widowControl w:val="false"/>
              <w:spacing w:before="60" w:after="60"/>
              <w:ind w:hanging="2"/>
              <w:jc w:val="center"/>
              <w:rPr>
                <w:sz w:val="22"/>
                <w:szCs w:val="22"/>
              </w:rPr>
            </w:pPr>
            <w:r>
              <w:rPr>
                <w:sz w:val="22"/>
                <w:szCs w:val="22"/>
              </w:rPr>
              <w:t>1.  La comunicación presencial en la empresa. Comunicación telefónica y telemática.</w:t>
            </w:r>
          </w:p>
        </w:tc>
        <w:tc>
          <w:tcPr>
            <w:tcW w:w="1701"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pacing w:before="60" w:after="60"/>
              <w:ind w:hanging="2"/>
              <w:jc w:val="center"/>
              <w:rPr>
                <w:sz w:val="22"/>
                <w:szCs w:val="22"/>
              </w:rPr>
            </w:pPr>
            <w:r>
              <w:rPr>
                <w:sz w:val="22"/>
                <w:szCs w:val="22"/>
              </w:rPr>
            </w:r>
          </w:p>
          <w:p>
            <w:pPr>
              <w:pStyle w:val="Normal"/>
              <w:widowControl w:val="false"/>
              <w:spacing w:before="60" w:after="60"/>
              <w:ind w:hanging="2"/>
              <w:jc w:val="center"/>
              <w:rPr>
                <w:sz w:val="22"/>
                <w:szCs w:val="22"/>
              </w:rPr>
            </w:pPr>
            <w:r>
              <w:rPr>
                <w:sz w:val="22"/>
                <w:szCs w:val="22"/>
              </w:rPr>
              <w:t>R.A. 2</w:t>
            </w:r>
          </w:p>
          <w:p>
            <w:pPr>
              <w:pStyle w:val="Normal"/>
              <w:widowControl w:val="false"/>
              <w:spacing w:before="60" w:after="60"/>
              <w:ind w:hanging="2"/>
              <w:jc w:val="center"/>
              <w:rPr>
                <w:sz w:val="22"/>
                <w:szCs w:val="22"/>
              </w:rPr>
            </w:pPr>
            <w:r>
              <w:rPr>
                <w:sz w:val="22"/>
                <w:szCs w:val="22"/>
              </w:rPr>
            </w:r>
          </w:p>
        </w:tc>
        <w:tc>
          <w:tcPr>
            <w:tcW w:w="1887"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pacing w:before="60" w:after="60"/>
              <w:ind w:hanging="2"/>
              <w:jc w:val="center"/>
              <w:rPr>
                <w:sz w:val="22"/>
                <w:szCs w:val="22"/>
              </w:rPr>
            </w:pPr>
            <w:r>
              <w:rPr>
                <w:sz w:val="22"/>
                <w:szCs w:val="22"/>
              </w:rPr>
              <w:t>19%</w:t>
            </w:r>
          </w:p>
        </w:tc>
      </w:tr>
      <w:tr>
        <w:trPr/>
        <w:tc>
          <w:tcPr>
            <w:tcW w:w="3870" w:type="dxa"/>
            <w:tcBorders>
              <w:top w:val="single" w:sz="4" w:space="0" w:color="000000"/>
              <w:left w:val="single" w:sz="4" w:space="0" w:color="000000"/>
              <w:bottom w:val="single" w:sz="4" w:space="0" w:color="000000"/>
              <w:right w:val="single" w:sz="4" w:space="0" w:color="000000"/>
            </w:tcBorders>
            <w:shd w:color="auto" w:fill="FFFFFF" w:val="clear"/>
          </w:tcPr>
          <w:p>
            <w:pPr>
              <w:pStyle w:val="Normal"/>
              <w:widowControl w:val="false"/>
              <w:spacing w:before="60" w:after="60"/>
              <w:ind w:hanging="2"/>
              <w:jc w:val="center"/>
              <w:rPr>
                <w:sz w:val="22"/>
                <w:szCs w:val="22"/>
              </w:rPr>
            </w:pPr>
            <w:r>
              <w:rPr>
                <w:sz w:val="22"/>
                <w:szCs w:val="22"/>
              </w:rPr>
              <w:t>2. La organización en la empresa. Proceso de información y comunicación</w:t>
            </w:r>
          </w:p>
        </w:tc>
        <w:tc>
          <w:tcPr>
            <w:tcW w:w="1701" w:type="dxa"/>
            <w:tcBorders>
              <w:top w:val="single" w:sz="4" w:space="0" w:color="000000"/>
              <w:left w:val="single" w:sz="4" w:space="0" w:color="000000"/>
              <w:bottom w:val="single" w:sz="4" w:space="0" w:color="000000"/>
              <w:right w:val="single" w:sz="4" w:space="0" w:color="000000"/>
            </w:tcBorders>
            <w:shd w:color="auto" w:fill="FFFFFF" w:val="clear"/>
          </w:tcPr>
          <w:p>
            <w:pPr>
              <w:pStyle w:val="Normal"/>
              <w:widowControl w:val="false"/>
              <w:spacing w:before="60" w:after="60"/>
              <w:ind w:hanging="2"/>
              <w:jc w:val="center"/>
              <w:rPr>
                <w:sz w:val="22"/>
                <w:szCs w:val="22"/>
              </w:rPr>
            </w:pPr>
            <w:r>
              <w:rPr>
                <w:sz w:val="22"/>
                <w:szCs w:val="22"/>
              </w:rPr>
              <w:t>R.A. 1</w:t>
            </w:r>
          </w:p>
        </w:tc>
        <w:tc>
          <w:tcPr>
            <w:tcW w:w="1887" w:type="dxa"/>
            <w:tcBorders>
              <w:top w:val="single" w:sz="4" w:space="0" w:color="000000"/>
              <w:left w:val="single" w:sz="4" w:space="0" w:color="000000"/>
              <w:bottom w:val="single" w:sz="4" w:space="0" w:color="000000"/>
              <w:right w:val="single" w:sz="4" w:space="0" w:color="000000"/>
            </w:tcBorders>
            <w:shd w:color="auto" w:fill="FFFFFF" w:val="clear"/>
          </w:tcPr>
          <w:p>
            <w:pPr>
              <w:pStyle w:val="Normal"/>
              <w:widowControl w:val="false"/>
              <w:spacing w:before="60" w:after="60"/>
              <w:ind w:hanging="2"/>
              <w:jc w:val="center"/>
              <w:rPr>
                <w:sz w:val="22"/>
                <w:szCs w:val="22"/>
              </w:rPr>
            </w:pPr>
            <w:r>
              <w:rPr>
                <w:sz w:val="22"/>
                <w:szCs w:val="22"/>
              </w:rPr>
              <w:t>12%</w:t>
            </w:r>
          </w:p>
        </w:tc>
      </w:tr>
      <w:tr>
        <w:trPr/>
        <w:tc>
          <w:tcPr>
            <w:tcW w:w="3870" w:type="dxa"/>
            <w:tcBorders>
              <w:top w:val="single" w:sz="4" w:space="0" w:color="000000"/>
              <w:left w:val="single" w:sz="4" w:space="0" w:color="000000"/>
              <w:bottom w:val="single" w:sz="4" w:space="0" w:color="000000"/>
              <w:right w:val="single" w:sz="4" w:space="0" w:color="000000"/>
            </w:tcBorders>
            <w:shd w:color="auto" w:fill="FFFFFF" w:val="clear"/>
          </w:tcPr>
          <w:p>
            <w:pPr>
              <w:pStyle w:val="Normal"/>
              <w:widowControl w:val="false"/>
              <w:spacing w:before="60" w:after="60"/>
              <w:ind w:hanging="2"/>
              <w:jc w:val="center"/>
              <w:rPr>
                <w:sz w:val="22"/>
                <w:szCs w:val="22"/>
              </w:rPr>
            </w:pPr>
            <w:r>
              <w:rPr>
                <w:sz w:val="22"/>
                <w:szCs w:val="22"/>
              </w:rPr>
              <w:t>3.Documentos escritos al servicio de la documentación empresarial</w:t>
            </w:r>
          </w:p>
        </w:tc>
        <w:tc>
          <w:tcPr>
            <w:tcW w:w="1701" w:type="dxa"/>
            <w:tcBorders>
              <w:top w:val="single" w:sz="4" w:space="0" w:color="000000"/>
              <w:left w:val="single" w:sz="4" w:space="0" w:color="000000"/>
              <w:bottom w:val="single" w:sz="4" w:space="0" w:color="000000"/>
              <w:right w:val="single" w:sz="4" w:space="0" w:color="000000"/>
            </w:tcBorders>
            <w:shd w:color="auto" w:fill="FFFFFF" w:val="clear"/>
          </w:tcPr>
          <w:p>
            <w:pPr>
              <w:pStyle w:val="Normal"/>
              <w:widowControl w:val="false"/>
              <w:spacing w:before="60" w:after="60"/>
              <w:ind w:hanging="2"/>
              <w:jc w:val="center"/>
              <w:rPr>
                <w:sz w:val="22"/>
                <w:szCs w:val="22"/>
              </w:rPr>
            </w:pPr>
            <w:r>
              <w:rPr>
                <w:sz w:val="22"/>
                <w:szCs w:val="22"/>
              </w:rPr>
              <w:t>R.A. 3</w:t>
            </w:r>
          </w:p>
        </w:tc>
        <w:tc>
          <w:tcPr>
            <w:tcW w:w="1887" w:type="dxa"/>
            <w:tcBorders>
              <w:top w:val="single" w:sz="4" w:space="0" w:color="000000"/>
              <w:left w:val="single" w:sz="4" w:space="0" w:color="000000"/>
              <w:bottom w:val="single" w:sz="4" w:space="0" w:color="000000"/>
              <w:right w:val="single" w:sz="4" w:space="0" w:color="000000"/>
            </w:tcBorders>
            <w:shd w:color="auto" w:fill="FFFFFF" w:val="clear"/>
          </w:tcPr>
          <w:p>
            <w:pPr>
              <w:pStyle w:val="Normal"/>
              <w:widowControl w:val="false"/>
              <w:spacing w:before="60" w:after="60"/>
              <w:ind w:hanging="2"/>
              <w:jc w:val="center"/>
              <w:rPr>
                <w:sz w:val="22"/>
                <w:szCs w:val="22"/>
              </w:rPr>
            </w:pPr>
            <w:r>
              <w:rPr>
                <w:sz w:val="22"/>
                <w:szCs w:val="22"/>
              </w:rPr>
              <w:t>23%</w:t>
            </w:r>
          </w:p>
        </w:tc>
      </w:tr>
      <w:tr>
        <w:trPr/>
        <w:tc>
          <w:tcPr>
            <w:tcW w:w="3870" w:type="dxa"/>
            <w:tcBorders>
              <w:top w:val="single" w:sz="4" w:space="0" w:color="000000"/>
              <w:left w:val="single" w:sz="4" w:space="0" w:color="000000"/>
              <w:bottom w:val="single" w:sz="4" w:space="0" w:color="000000"/>
              <w:right w:val="single" w:sz="4" w:space="0" w:color="000000"/>
            </w:tcBorders>
            <w:shd w:color="auto" w:fill="FFFFFF" w:val="clear"/>
          </w:tcPr>
          <w:p>
            <w:pPr>
              <w:pStyle w:val="Normal"/>
              <w:widowControl w:val="false"/>
              <w:spacing w:before="60" w:after="60"/>
              <w:ind w:hanging="2"/>
              <w:jc w:val="center"/>
              <w:rPr>
                <w:sz w:val="22"/>
                <w:szCs w:val="22"/>
              </w:rPr>
            </w:pPr>
            <w:r>
              <w:rPr>
                <w:sz w:val="22"/>
                <w:szCs w:val="22"/>
              </w:rPr>
              <w:t>4 Técnicas de comunicación en la atención al cliente</w:t>
            </w:r>
          </w:p>
        </w:tc>
        <w:tc>
          <w:tcPr>
            <w:tcW w:w="1701" w:type="dxa"/>
            <w:tcBorders>
              <w:top w:val="single" w:sz="4" w:space="0" w:color="000000"/>
              <w:left w:val="single" w:sz="4" w:space="0" w:color="000000"/>
              <w:bottom w:val="single" w:sz="4" w:space="0" w:color="000000"/>
              <w:right w:val="single" w:sz="4" w:space="0" w:color="000000"/>
            </w:tcBorders>
            <w:shd w:color="auto" w:fill="FFFFFF" w:val="clear"/>
          </w:tcPr>
          <w:p>
            <w:pPr>
              <w:pStyle w:val="Normal"/>
              <w:widowControl w:val="false"/>
              <w:spacing w:before="60" w:after="60"/>
              <w:ind w:hanging="2"/>
              <w:jc w:val="center"/>
              <w:rPr>
                <w:sz w:val="22"/>
                <w:szCs w:val="22"/>
              </w:rPr>
            </w:pPr>
            <w:r>
              <w:rPr>
                <w:sz w:val="22"/>
                <w:szCs w:val="22"/>
              </w:rPr>
              <w:t>R.A. 5</w:t>
            </w:r>
          </w:p>
        </w:tc>
        <w:tc>
          <w:tcPr>
            <w:tcW w:w="1887" w:type="dxa"/>
            <w:tcBorders>
              <w:top w:val="single" w:sz="4" w:space="0" w:color="000000"/>
              <w:left w:val="single" w:sz="4" w:space="0" w:color="000000"/>
              <w:bottom w:val="single" w:sz="4" w:space="0" w:color="000000"/>
              <w:right w:val="single" w:sz="4" w:space="0" w:color="000000"/>
            </w:tcBorders>
            <w:shd w:color="auto" w:fill="FFFFFF" w:val="clear"/>
          </w:tcPr>
          <w:p>
            <w:pPr>
              <w:pStyle w:val="Normal"/>
              <w:widowControl w:val="false"/>
              <w:spacing w:before="60" w:after="60"/>
              <w:ind w:hanging="2"/>
              <w:jc w:val="center"/>
              <w:rPr>
                <w:sz w:val="22"/>
                <w:szCs w:val="22"/>
              </w:rPr>
            </w:pPr>
            <w:r>
              <w:rPr>
                <w:sz w:val="22"/>
                <w:szCs w:val="22"/>
              </w:rPr>
              <w:t>14%</w:t>
            </w:r>
          </w:p>
        </w:tc>
      </w:tr>
      <w:tr>
        <w:trPr/>
        <w:tc>
          <w:tcPr>
            <w:tcW w:w="3870" w:type="dxa"/>
            <w:tcBorders>
              <w:top w:val="single" w:sz="4" w:space="0" w:color="000000"/>
              <w:left w:val="single" w:sz="4" w:space="0" w:color="000000"/>
              <w:bottom w:val="single" w:sz="4" w:space="0" w:color="000000"/>
              <w:right w:val="single" w:sz="4" w:space="0" w:color="000000"/>
            </w:tcBorders>
            <w:shd w:color="auto" w:fill="FFFFFF" w:val="clear"/>
          </w:tcPr>
          <w:p>
            <w:pPr>
              <w:pStyle w:val="Normal"/>
              <w:widowControl w:val="false"/>
              <w:spacing w:before="60" w:after="60"/>
              <w:ind w:hanging="2"/>
              <w:jc w:val="center"/>
              <w:rPr>
                <w:sz w:val="22"/>
                <w:szCs w:val="22"/>
              </w:rPr>
            </w:pPr>
            <w:r>
              <w:rPr>
                <w:sz w:val="22"/>
                <w:szCs w:val="22"/>
              </w:rPr>
              <w:t>5 Gestión de consultas, quejas y reclamaciones.</w:t>
            </w:r>
          </w:p>
        </w:tc>
        <w:tc>
          <w:tcPr>
            <w:tcW w:w="1701" w:type="dxa"/>
            <w:tcBorders>
              <w:top w:val="single" w:sz="4" w:space="0" w:color="000000"/>
              <w:left w:val="single" w:sz="4" w:space="0" w:color="000000"/>
              <w:bottom w:val="single" w:sz="4" w:space="0" w:color="000000"/>
              <w:right w:val="single" w:sz="4" w:space="0" w:color="000000"/>
            </w:tcBorders>
            <w:shd w:color="auto" w:fill="FFFFFF" w:val="clear"/>
          </w:tcPr>
          <w:p>
            <w:pPr>
              <w:pStyle w:val="Normal"/>
              <w:widowControl w:val="false"/>
              <w:spacing w:before="60" w:after="60"/>
              <w:ind w:hanging="2"/>
              <w:jc w:val="center"/>
              <w:rPr>
                <w:sz w:val="22"/>
                <w:szCs w:val="22"/>
              </w:rPr>
            </w:pPr>
            <w:r>
              <w:rPr>
                <w:sz w:val="22"/>
                <w:szCs w:val="22"/>
              </w:rPr>
              <w:t>R.A. 6</w:t>
            </w:r>
          </w:p>
        </w:tc>
        <w:tc>
          <w:tcPr>
            <w:tcW w:w="1887" w:type="dxa"/>
            <w:tcBorders>
              <w:top w:val="single" w:sz="4" w:space="0" w:color="000000"/>
              <w:left w:val="single" w:sz="4" w:space="0" w:color="000000"/>
              <w:bottom w:val="single" w:sz="4" w:space="0" w:color="000000"/>
              <w:right w:val="single" w:sz="4" w:space="0" w:color="000000"/>
            </w:tcBorders>
            <w:shd w:color="auto" w:fill="FFFFFF" w:val="clear"/>
          </w:tcPr>
          <w:p>
            <w:pPr>
              <w:pStyle w:val="Normal"/>
              <w:widowControl w:val="false"/>
              <w:spacing w:before="60" w:after="60"/>
              <w:ind w:hanging="2"/>
              <w:jc w:val="center"/>
              <w:rPr>
                <w:sz w:val="22"/>
                <w:szCs w:val="22"/>
              </w:rPr>
            </w:pPr>
            <w:r>
              <w:rPr>
                <w:sz w:val="22"/>
                <w:szCs w:val="22"/>
              </w:rPr>
              <w:t>10%</w:t>
            </w:r>
          </w:p>
        </w:tc>
      </w:tr>
      <w:tr>
        <w:trPr/>
        <w:tc>
          <w:tcPr>
            <w:tcW w:w="3870" w:type="dxa"/>
            <w:tcBorders>
              <w:top w:val="single" w:sz="4" w:space="0" w:color="000000"/>
              <w:left w:val="single" w:sz="4" w:space="0" w:color="000000"/>
              <w:bottom w:val="single" w:sz="4" w:space="0" w:color="000000"/>
              <w:right w:val="single" w:sz="4" w:space="0" w:color="000000"/>
            </w:tcBorders>
            <w:shd w:color="auto" w:fill="FFFFFF" w:val="clear"/>
          </w:tcPr>
          <w:p>
            <w:pPr>
              <w:pStyle w:val="Normal"/>
              <w:widowControl w:val="false"/>
              <w:spacing w:before="60" w:after="60"/>
              <w:ind w:hanging="2"/>
              <w:jc w:val="center"/>
              <w:rPr>
                <w:sz w:val="22"/>
                <w:szCs w:val="22"/>
              </w:rPr>
            </w:pPr>
            <w:r>
              <w:rPr>
                <w:sz w:val="22"/>
                <w:szCs w:val="22"/>
              </w:rPr>
              <w:t>6 Servicio posventa.</w:t>
            </w:r>
          </w:p>
        </w:tc>
        <w:tc>
          <w:tcPr>
            <w:tcW w:w="1701" w:type="dxa"/>
            <w:tcBorders>
              <w:top w:val="single" w:sz="4" w:space="0" w:color="000000"/>
              <w:left w:val="single" w:sz="4" w:space="0" w:color="000000"/>
              <w:bottom w:val="single" w:sz="4" w:space="0" w:color="000000"/>
              <w:right w:val="single" w:sz="4" w:space="0" w:color="000000"/>
            </w:tcBorders>
            <w:shd w:color="auto" w:fill="FFFFFF" w:val="clear"/>
          </w:tcPr>
          <w:p>
            <w:pPr>
              <w:pStyle w:val="Normal"/>
              <w:widowControl w:val="false"/>
              <w:spacing w:before="60" w:after="60"/>
              <w:ind w:hanging="2"/>
              <w:jc w:val="center"/>
              <w:rPr>
                <w:sz w:val="22"/>
                <w:szCs w:val="22"/>
              </w:rPr>
            </w:pPr>
            <w:r>
              <w:rPr>
                <w:sz w:val="22"/>
                <w:szCs w:val="22"/>
              </w:rPr>
              <w:t>R.A. 7</w:t>
            </w:r>
          </w:p>
        </w:tc>
        <w:tc>
          <w:tcPr>
            <w:tcW w:w="1887" w:type="dxa"/>
            <w:tcBorders>
              <w:top w:val="single" w:sz="4" w:space="0" w:color="000000"/>
              <w:left w:val="single" w:sz="4" w:space="0" w:color="000000"/>
              <w:bottom w:val="single" w:sz="4" w:space="0" w:color="000000"/>
              <w:right w:val="single" w:sz="4" w:space="0" w:color="000000"/>
            </w:tcBorders>
            <w:shd w:color="auto" w:fill="FFFFFF" w:val="clear"/>
          </w:tcPr>
          <w:p>
            <w:pPr>
              <w:pStyle w:val="Normal"/>
              <w:widowControl w:val="false"/>
              <w:spacing w:before="60" w:after="60"/>
              <w:ind w:hanging="2"/>
              <w:jc w:val="center"/>
              <w:rPr>
                <w:sz w:val="22"/>
                <w:szCs w:val="22"/>
              </w:rPr>
            </w:pPr>
            <w:r>
              <w:rPr>
                <w:sz w:val="22"/>
                <w:szCs w:val="22"/>
              </w:rPr>
              <w:t>10%</w:t>
            </w:r>
          </w:p>
        </w:tc>
      </w:tr>
      <w:tr>
        <w:trPr/>
        <w:tc>
          <w:tcPr>
            <w:tcW w:w="3870" w:type="dxa"/>
            <w:tcBorders>
              <w:top w:val="single" w:sz="4" w:space="0" w:color="000000"/>
              <w:left w:val="single" w:sz="4" w:space="0" w:color="000000"/>
              <w:bottom w:val="single" w:sz="4" w:space="0" w:color="000000"/>
              <w:right w:val="single" w:sz="4" w:space="0" w:color="000000"/>
            </w:tcBorders>
            <w:shd w:color="auto" w:fill="FFFFFF" w:val="clear"/>
          </w:tcPr>
          <w:p>
            <w:pPr>
              <w:pStyle w:val="Normal"/>
              <w:widowControl w:val="false"/>
              <w:spacing w:before="60" w:after="60"/>
              <w:ind w:hanging="2"/>
              <w:jc w:val="center"/>
              <w:rPr>
                <w:sz w:val="22"/>
                <w:szCs w:val="22"/>
              </w:rPr>
            </w:pPr>
            <w:r>
              <w:rPr>
                <w:sz w:val="22"/>
                <w:szCs w:val="22"/>
              </w:rPr>
              <w:t>7 Archivo, registro y recuperación de la información.</w:t>
            </w:r>
          </w:p>
        </w:tc>
        <w:tc>
          <w:tcPr>
            <w:tcW w:w="1701" w:type="dxa"/>
            <w:tcBorders>
              <w:top w:val="single" w:sz="4" w:space="0" w:color="000000"/>
              <w:left w:val="single" w:sz="4" w:space="0" w:color="000000"/>
              <w:bottom w:val="single" w:sz="4" w:space="0" w:color="000000"/>
              <w:right w:val="single" w:sz="4" w:space="0" w:color="000000"/>
            </w:tcBorders>
            <w:shd w:color="auto" w:fill="FFFFFF" w:val="clear"/>
          </w:tcPr>
          <w:p>
            <w:pPr>
              <w:pStyle w:val="Normal"/>
              <w:widowControl w:val="false"/>
              <w:spacing w:before="60" w:after="60"/>
              <w:ind w:hanging="2"/>
              <w:jc w:val="center"/>
              <w:rPr>
                <w:sz w:val="22"/>
                <w:szCs w:val="22"/>
              </w:rPr>
            </w:pPr>
            <w:r>
              <w:rPr>
                <w:sz w:val="22"/>
                <w:szCs w:val="22"/>
              </w:rPr>
              <w:t>R.A. 4</w:t>
            </w:r>
          </w:p>
        </w:tc>
        <w:tc>
          <w:tcPr>
            <w:tcW w:w="1887" w:type="dxa"/>
            <w:tcBorders>
              <w:top w:val="single" w:sz="4" w:space="0" w:color="000000"/>
              <w:left w:val="single" w:sz="4" w:space="0" w:color="000000"/>
              <w:bottom w:val="single" w:sz="4" w:space="0" w:color="000000"/>
              <w:right w:val="single" w:sz="4" w:space="0" w:color="000000"/>
            </w:tcBorders>
            <w:shd w:color="auto" w:fill="FFFFFF" w:val="clear"/>
          </w:tcPr>
          <w:p>
            <w:pPr>
              <w:pStyle w:val="Normal"/>
              <w:widowControl w:val="false"/>
              <w:spacing w:before="60" w:after="60"/>
              <w:ind w:hanging="2"/>
              <w:jc w:val="center"/>
              <w:rPr>
                <w:sz w:val="22"/>
                <w:szCs w:val="22"/>
              </w:rPr>
            </w:pPr>
            <w:r>
              <w:rPr>
                <w:sz w:val="22"/>
                <w:szCs w:val="22"/>
              </w:rPr>
              <w:t>12%</w:t>
            </w:r>
          </w:p>
        </w:tc>
      </w:tr>
    </w:tbl>
    <w:p>
      <w:pPr>
        <w:pStyle w:val="Normal"/>
        <w:spacing w:before="0" w:after="120"/>
        <w:ind w:hanging="2"/>
        <w:jc w:val="both"/>
        <w:rPr/>
      </w:pPr>
      <w:r>
        <w:rPr/>
      </w:r>
    </w:p>
    <w:p>
      <w:pPr>
        <w:pStyle w:val="Normal"/>
        <w:spacing w:before="0" w:after="120"/>
        <w:ind w:hanging="2"/>
        <w:jc w:val="both"/>
        <w:rPr/>
      </w:pPr>
      <w:r>
        <w:rPr/>
        <w:t>En el caso en el que haya algún criterio de evaluación suspenso, independientemente de la media del R.A. la calificación será como máximo 4 debiendo recuperar los criterios suspensos correspondientes en el periodo de junio.</w:t>
      </w:r>
    </w:p>
    <w:p>
      <w:pPr>
        <w:pStyle w:val="Normal"/>
        <w:pBdr/>
        <w:spacing w:lineRule="auto" w:line="276" w:before="0" w:after="120"/>
        <w:ind w:hanging="2"/>
        <w:rPr>
          <w:color w:val="000000"/>
        </w:rPr>
      </w:pPr>
      <w:r>
        <w:rPr>
          <w:b/>
          <w:color w:val="000000"/>
        </w:rPr>
        <w:t>7.4. Criterios de Recuperación.</w:t>
      </w:r>
      <w:r>
        <w:rPr>
          <w:color w:val="000000"/>
        </w:rPr>
        <w:t xml:space="preserve"> </w:t>
      </w:r>
    </w:p>
    <w:p>
      <w:pPr>
        <w:pStyle w:val="Normal"/>
        <w:spacing w:lineRule="auto" w:line="360"/>
        <w:ind w:hanging="2"/>
        <w:jc w:val="both"/>
        <w:rPr/>
      </w:pPr>
      <w:r>
        <w:rPr/>
        <w:t xml:space="preserve">En abril se realizará una prueba control  de recuperación de las pruebas tipo control o tipo examen de los criterios de evaluación de los resultados de aprendizaje impartidos. El alumnado se presentará </w:t>
      </w:r>
      <w:r>
        <w:rPr>
          <w:b/>
        </w:rPr>
        <w:t>al examen</w:t>
      </w:r>
      <w:r>
        <w:rPr/>
        <w:t xml:space="preserve"> que tenga </w:t>
      </w:r>
      <w:r>
        <w:rPr>
          <w:b/>
        </w:rPr>
        <w:t>suspenso</w:t>
      </w:r>
      <w:r>
        <w:rPr/>
        <w:t xml:space="preserve"> y </w:t>
      </w:r>
      <w:r>
        <w:rPr>
          <w:b/>
        </w:rPr>
        <w:t>siempre y cuando al aplicar los porcentajes no resulte aprobado</w:t>
      </w:r>
      <w:r>
        <w:rPr/>
        <w:t xml:space="preserve"> el criterio de evaluación correspondiente. También se presentará el alumnado que aun teniendo aprobado el examen, el correspondiente criterio de evaluación esté suspenso. </w:t>
      </w:r>
    </w:p>
    <w:p>
      <w:pPr>
        <w:pStyle w:val="Normal"/>
        <w:spacing w:lineRule="auto" w:line="360"/>
        <w:ind w:hanging="2"/>
        <w:jc w:val="both"/>
        <w:rPr/>
      </w:pPr>
      <w:r>
        <w:rPr/>
        <w:t xml:space="preserve"> </w:t>
      </w:r>
      <w:r>
        <w:rPr/>
        <w:t xml:space="preserve">Se utilizará, para su corrección, puntuación y evaluación los mismos criterios que en la evaluación de este. </w:t>
      </w:r>
    </w:p>
    <w:p>
      <w:pPr>
        <w:pStyle w:val="Normal"/>
        <w:spacing w:lineRule="auto" w:line="360"/>
        <w:ind w:hanging="2"/>
        <w:jc w:val="both"/>
        <w:rPr/>
      </w:pPr>
      <w:r>
        <w:rPr/>
        <w:t>El alumnado que en junio tenga suspenso un criterio pero el examen esté aprobado, la profesora le indicará la actividad o tarea que deberá realizar para aumentar su calificación.</w:t>
      </w:r>
    </w:p>
    <w:p>
      <w:pPr>
        <w:pStyle w:val="Normal"/>
        <w:spacing w:lineRule="auto" w:line="360"/>
        <w:ind w:hanging="2"/>
        <w:jc w:val="both"/>
        <w:rPr/>
      </w:pPr>
      <w:r>
        <w:rPr/>
        <w:t>El alumnado que tenga faltas de asistencia sin justificar por más del 20% perderá el derecho a evaluación continua y tanto sus instrumentos de evaluación como la prueba tipo  examen podrá ser distinta  al del resto del alumnado.</w:t>
      </w:r>
    </w:p>
    <w:p>
      <w:pPr>
        <w:pStyle w:val="Normal"/>
        <w:spacing w:lineRule="auto" w:line="360"/>
        <w:ind w:hanging="2"/>
        <w:jc w:val="both"/>
        <w:rPr/>
      </w:pPr>
      <w:bookmarkStart w:id="3" w:name="_heading=h.gjdgxs"/>
      <w:bookmarkEnd w:id="3"/>
      <w:r>
        <w:rPr/>
        <w:t>Los libros de  lectura de El caballero de la armadura oxidada (pondera como dos la nota del examen )   y Comunicación no violenta,  (tiene  13 pruebas por tanto 13 notas)  se sumará todo y divide entre quince, Si el alumnado no realiza alguna prueba la calificación es cero en esa prueba y si no asiste por causa justificada la realizará junto a la siguiente.</w:t>
      </w:r>
    </w:p>
    <w:p>
      <w:pPr>
        <w:pStyle w:val="Normal"/>
        <w:spacing w:lineRule="auto" w:line="360"/>
        <w:ind w:hanging="2"/>
        <w:jc w:val="both"/>
        <w:rPr/>
      </w:pPr>
      <w:r>
        <w:rPr/>
        <w:t>Las exposiciones orales deberán realizarse el día que la profesora indique con el mismo peso que indica en los criterios de evaluación de la evaluación aunque los tema de  exposición podrán ser diferentes. La última exposición oral ponderará como cuatro.</w:t>
      </w:r>
    </w:p>
    <w:p>
      <w:pPr>
        <w:pStyle w:val="Normal"/>
        <w:spacing w:lineRule="auto" w:line="360" w:before="480" w:after="0"/>
        <w:ind w:hanging="2"/>
        <w:jc w:val="both"/>
        <w:rPr/>
      </w:pPr>
      <w:r>
        <w:rPr>
          <w:b/>
        </w:rPr>
        <w:t xml:space="preserve">Autoevaluación del alumnado </w:t>
      </w:r>
    </w:p>
    <w:p>
      <w:pPr>
        <w:pStyle w:val="Normal"/>
        <w:pBdr/>
        <w:spacing w:lineRule="auto" w:line="360"/>
        <w:ind w:hanging="2"/>
        <w:jc w:val="both"/>
        <w:rPr>
          <w:color w:val="000000"/>
        </w:rPr>
      </w:pPr>
      <w:r>
        <w:rPr>
          <w:color w:val="000000"/>
        </w:rPr>
        <w:t xml:space="preserve">Al finalizar algunos trabajos en grupo, la profesora enviará formulario de google a cada uno de los alumnos y alumnas para que realicen su autoevaluación y puedan reflexionar sobre su evolución, siempre que no se haya realizado una prueba de este tipo al final de la evaluación. </w:t>
      </w:r>
    </w:p>
    <w:p>
      <w:pPr>
        <w:pStyle w:val="Normal"/>
        <w:spacing w:lineRule="auto" w:line="360" w:before="480" w:after="0"/>
        <w:ind w:hanging="2"/>
        <w:jc w:val="both"/>
        <w:rPr>
          <w:b/>
          <w:b/>
          <w:u w:val="single"/>
        </w:rPr>
      </w:pPr>
      <w:r>
        <w:rPr>
          <w:b/>
          <w:u w:val="single"/>
        </w:rPr>
        <w:t>Evaluación del proceso de enseñanza y de la práctica docente de la profesora.</w:t>
      </w:r>
    </w:p>
    <w:p>
      <w:pPr>
        <w:pStyle w:val="Normal"/>
        <w:spacing w:lineRule="auto" w:line="360" w:before="480" w:after="0"/>
        <w:ind w:hanging="2"/>
        <w:jc w:val="both"/>
        <w:rPr>
          <w:b/>
          <w:b/>
        </w:rPr>
      </w:pPr>
      <w:r>
        <w:rPr>
          <w:b/>
        </w:rPr>
        <w:t>Al finalizar cada evaluación la profesora realizará una evaluación del proceso de enseñanza, reflexionando sobre los instrumentos que tengan porcentajes de suspensos superiores a  los indicadores de calidad establecidos por el centro.</w:t>
      </w:r>
    </w:p>
    <w:p>
      <w:pPr>
        <w:pStyle w:val="Normal"/>
        <w:pBdr/>
        <w:spacing w:lineRule="auto" w:line="360"/>
        <w:ind w:hanging="2"/>
        <w:jc w:val="both"/>
        <w:rPr>
          <w:color w:val="000000"/>
        </w:rPr>
      </w:pPr>
      <w:r>
        <w:rPr>
          <w:color w:val="000000"/>
        </w:rPr>
        <w:t xml:space="preserve">Al final del curso se pasará formulario de google para que el alumnado pueda valorar de forma anónima tanto el contenido y el desarrollo del curso como la labor docente de la profesora, además esta estará a menudo recibiendo  feedback del alumnado con respecto a este tema. Además el proceso enseñanza aprendizaje será evaluado en cada evaluación según los parámetros de calidad instaurados en el centro según la norma </w:t>
      </w:r>
      <w:r>
        <w:rPr>
          <w:rStyle w:val="Destacado"/>
          <w:b/>
          <w:bCs/>
          <w:i w:val="false"/>
          <w:iCs w:val="false"/>
          <w:color w:val="767676"/>
          <w:sz w:val="21"/>
          <w:szCs w:val="21"/>
          <w:shd w:fill="FFFFFF" w:val="clear"/>
        </w:rPr>
        <w:t>UNE-EN ISO 9001:2015</w:t>
      </w:r>
      <w:r>
        <w:rPr>
          <w:color w:val="474747"/>
          <w:sz w:val="21"/>
          <w:szCs w:val="21"/>
          <w:shd w:fill="FFFFFF" w:val="clear"/>
        </w:rPr>
        <w:t>.</w:t>
      </w:r>
    </w:p>
    <w:p>
      <w:pPr>
        <w:pStyle w:val="Normal"/>
        <w:pBdr/>
        <w:tabs>
          <w:tab w:val="clear" w:pos="720"/>
          <w:tab w:val="left" w:pos="0" w:leader="none"/>
        </w:tabs>
        <w:spacing w:before="0" w:after="120"/>
        <w:ind w:hanging="2"/>
        <w:jc w:val="both"/>
        <w:rPr>
          <w:rFonts w:ascii="Times New Roman" w:hAnsi="Times New Roman" w:eastAsia="Times New Roman" w:cs="Times New Roman"/>
          <w:color w:val="000000"/>
        </w:rPr>
      </w:pPr>
      <w:r>
        <w:rPr>
          <w:b/>
          <w:color w:val="000000"/>
        </w:rPr>
        <w:t>7.5. Procedimiento para la adaptación del alumnado que se matricula con el curso ya comenzado.</w:t>
      </w:r>
      <w:r>
        <w:rPr>
          <w:color w:val="000000"/>
        </w:rPr>
        <w:t xml:space="preserve"> </w:t>
      </w:r>
    </w:p>
    <w:p>
      <w:pPr>
        <w:pStyle w:val="Normal"/>
        <w:ind w:hanging="2"/>
        <w:jc w:val="both"/>
        <w:rPr/>
      </w:pPr>
      <w:r>
        <w:rPr/>
        <w:t>Al alumnado que se incorpora de forma tardía, se le propondrá que se ponga al día con los distintas tareas y ejercicios que lleve de retraso, adaptando la carga de trabajo si fuera necesario. Para ello se utilizará la plataforma Classroom que servirá de receptor de todos los ejercicios, habilitando los tiempos de entrega y/o actividades pendientes. Con respecto a las pruebas ya realizadas de los libros de lectura, se les programarán otras fechas para que puedan realizarlos sin presión alguna.</w:t>
      </w:r>
    </w:p>
    <w:p>
      <w:pPr>
        <w:pStyle w:val="Normal"/>
        <w:keepNext w:val="true"/>
        <w:numPr>
          <w:ilvl w:val="0"/>
          <w:numId w:val="1"/>
        </w:numPr>
        <w:pBdr/>
        <w:spacing w:lineRule="auto" w:line="360" w:before="480" w:after="120"/>
        <w:ind w:left="0" w:hanging="2"/>
        <w:jc w:val="both"/>
        <w:rPr>
          <w:color w:val="000000"/>
        </w:rPr>
      </w:pPr>
      <w:r>
        <w:rPr>
          <w:b/>
          <w:color w:val="000000"/>
        </w:rPr>
        <w:t>ACTIVIDADES DE RECUPERACIÓN DE MÓDULOS PENDIENTES DE EVALUACIÓN POSITIVA DEL CURSO ANTERIOR</w:t>
      </w:r>
    </w:p>
    <w:p>
      <w:pPr>
        <w:pStyle w:val="Normal"/>
        <w:pBdr/>
        <w:spacing w:lineRule="auto" w:line="360" w:before="0" w:after="120"/>
        <w:ind w:hanging="2"/>
        <w:rPr>
          <w:color w:val="000000"/>
        </w:rPr>
      </w:pPr>
      <w:r>
        <w:rPr>
          <w:color w:val="000000"/>
        </w:rPr>
        <w:t>No procede en este módulo.</w:t>
      </w:r>
    </w:p>
    <w:p>
      <w:pPr>
        <w:pStyle w:val="Normal"/>
        <w:keepNext w:val="true"/>
        <w:numPr>
          <w:ilvl w:val="0"/>
          <w:numId w:val="1"/>
        </w:numPr>
        <w:pBdr/>
        <w:spacing w:lineRule="auto" w:line="360" w:before="480" w:after="120"/>
        <w:ind w:left="0" w:hanging="2"/>
        <w:jc w:val="both"/>
        <w:rPr>
          <w:color w:val="000000"/>
        </w:rPr>
      </w:pPr>
      <w:r>
        <w:rPr>
          <w:b/>
          <w:color w:val="000000"/>
        </w:rPr>
        <w:t>MÓDULOS TRANSVERSALES</w:t>
      </w:r>
    </w:p>
    <w:p>
      <w:pPr>
        <w:pStyle w:val="Normal"/>
        <w:numPr>
          <w:ilvl w:val="0"/>
          <w:numId w:val="21"/>
        </w:numPr>
        <w:pBdr/>
        <w:spacing w:lineRule="auto" w:line="276"/>
        <w:ind w:left="0" w:hanging="2"/>
        <w:jc w:val="both"/>
        <w:rPr/>
      </w:pPr>
      <w:r>
        <w:rPr>
          <w:color w:val="000000"/>
        </w:rPr>
        <w:t>Fomento de la lectura y exposición oral.</w:t>
      </w:r>
    </w:p>
    <w:p>
      <w:pPr>
        <w:pStyle w:val="Normal"/>
        <w:numPr>
          <w:ilvl w:val="0"/>
          <w:numId w:val="21"/>
        </w:numPr>
        <w:pBdr/>
        <w:spacing w:lineRule="auto" w:line="276"/>
        <w:ind w:left="0" w:hanging="2"/>
        <w:jc w:val="both"/>
        <w:rPr/>
      </w:pPr>
      <w:r>
        <w:rPr>
          <w:color w:val="000000"/>
        </w:rPr>
        <w:t xml:space="preserve">Cultura emprendedora. </w:t>
      </w:r>
    </w:p>
    <w:p>
      <w:pPr>
        <w:pStyle w:val="Normal"/>
        <w:pBdr/>
        <w:spacing w:lineRule="auto" w:line="276"/>
        <w:ind w:hanging="2"/>
        <w:jc w:val="both"/>
        <w:rPr>
          <w:color w:val="000000"/>
        </w:rPr>
      </w:pPr>
      <w:r>
        <w:rPr>
          <w:color w:val="000000"/>
        </w:rPr>
        <w:t xml:space="preserve">Desarrollo del pensamiento crítico. </w:t>
      </w:r>
    </w:p>
    <w:p>
      <w:pPr>
        <w:pStyle w:val="Normal"/>
        <w:pBdr/>
        <w:spacing w:lineRule="auto" w:line="276"/>
        <w:ind w:hanging="2"/>
        <w:jc w:val="both"/>
        <w:rPr>
          <w:color w:val="000000"/>
        </w:rPr>
      </w:pPr>
      <w:r>
        <w:rPr>
          <w:color w:val="000000"/>
        </w:rPr>
        <w:t xml:space="preserve">Fomentar la responsabilidad, el esfuerzo, la creatividad y la autonomía. </w:t>
      </w:r>
    </w:p>
    <w:p>
      <w:pPr>
        <w:pStyle w:val="Normal"/>
        <w:numPr>
          <w:ilvl w:val="0"/>
          <w:numId w:val="21"/>
        </w:numPr>
        <w:pBdr/>
        <w:spacing w:lineRule="auto" w:line="276"/>
        <w:ind w:left="0" w:hanging="2"/>
        <w:jc w:val="both"/>
        <w:rPr/>
      </w:pPr>
      <w:r>
        <w:rPr>
          <w:color w:val="000000"/>
        </w:rPr>
        <w:t>Educación moral y cívica: durante el desarrollo de la materia debemos educar a :</w:t>
      </w:r>
    </w:p>
    <w:p>
      <w:pPr>
        <w:pStyle w:val="Normal"/>
        <w:pBdr/>
        <w:ind w:hanging="2"/>
        <w:jc w:val="both"/>
        <w:rPr>
          <w:color w:val="000000"/>
        </w:rPr>
      </w:pPr>
      <w:r>
        <w:rPr>
          <w:color w:val="000000"/>
        </w:rPr>
        <w:t xml:space="preserve">Adquirir hábitos de convivencia que refuercen los valores como solidaridad, cooperación, respeto. </w:t>
      </w:r>
    </w:p>
    <w:p>
      <w:pPr>
        <w:pStyle w:val="Normal"/>
        <w:pBdr/>
        <w:ind w:hanging="2"/>
        <w:jc w:val="both"/>
        <w:rPr>
          <w:color w:val="000000"/>
        </w:rPr>
      </w:pPr>
      <w:r>
        <w:rPr>
          <w:color w:val="000000"/>
        </w:rPr>
        <w:t>No discriminación por razón de raza, sexo y religión. Consciencia sobre la violencia de género.</w:t>
      </w:r>
    </w:p>
    <w:p>
      <w:pPr>
        <w:pStyle w:val="Normal"/>
        <w:numPr>
          <w:ilvl w:val="0"/>
          <w:numId w:val="21"/>
        </w:numPr>
        <w:pBdr/>
        <w:spacing w:lineRule="auto" w:line="276"/>
        <w:ind w:left="0" w:hanging="2"/>
        <w:jc w:val="both"/>
        <w:rPr/>
      </w:pPr>
      <w:r>
        <w:rPr>
          <w:color w:val="000000"/>
        </w:rPr>
        <w:t xml:space="preserve">Responsabilidad Social: </w:t>
      </w:r>
    </w:p>
    <w:p>
      <w:pPr>
        <w:pStyle w:val="Normal"/>
        <w:numPr>
          <w:ilvl w:val="0"/>
          <w:numId w:val="21"/>
        </w:numPr>
        <w:pBdr/>
        <w:spacing w:lineRule="auto" w:line="276"/>
        <w:ind w:left="0" w:hanging="2"/>
        <w:jc w:val="both"/>
        <w:rPr/>
      </w:pPr>
      <w:r>
        <w:rPr>
          <w:color w:val="000000"/>
        </w:rPr>
        <w:t>Sostenibilidad y consumo responsable</w:t>
      </w:r>
    </w:p>
    <w:p>
      <w:pPr>
        <w:pStyle w:val="Normal"/>
        <w:numPr>
          <w:ilvl w:val="0"/>
          <w:numId w:val="21"/>
        </w:numPr>
        <w:pBdr/>
        <w:spacing w:lineRule="auto" w:line="276"/>
        <w:ind w:left="0" w:hanging="2"/>
        <w:jc w:val="both"/>
        <w:rPr/>
      </w:pPr>
      <w:r>
        <w:rPr>
          <w:color w:val="000000"/>
        </w:rPr>
        <w:t>SALUD: Las emociones. Además se van  a tratar los riesgos de la profesión, fomentando actitudes de prevención, protección y mejora de la defensa de la salud. Se realizarán pausas activas con ejercicios físicos y de relajación con estiramientos para evitar posibles lesiones musculares.</w:t>
      </w:r>
    </w:p>
    <w:p>
      <w:pPr>
        <w:pStyle w:val="Normal"/>
        <w:numPr>
          <w:ilvl w:val="0"/>
          <w:numId w:val="21"/>
        </w:numPr>
        <w:pBdr/>
        <w:spacing w:lineRule="auto" w:line="276" w:before="0" w:after="200"/>
        <w:ind w:left="0" w:hanging="2"/>
        <w:jc w:val="both"/>
        <w:rPr/>
      </w:pPr>
      <w:r>
        <w:rPr>
          <w:color w:val="000000"/>
        </w:rPr>
        <w:t>Educación en tecnologías de la información y comunicación. Como competencia básica que ha de desarrollar el alumnado, se potenciará el uso de estas tecnologías.</w:t>
      </w:r>
    </w:p>
    <w:p>
      <w:pPr>
        <w:pStyle w:val="Normal"/>
        <w:keepNext w:val="true"/>
        <w:numPr>
          <w:ilvl w:val="0"/>
          <w:numId w:val="1"/>
        </w:numPr>
        <w:pBdr/>
        <w:spacing w:lineRule="auto" w:line="360" w:before="120" w:after="120"/>
        <w:ind w:left="0" w:hanging="2"/>
        <w:jc w:val="both"/>
        <w:rPr>
          <w:color w:val="000000"/>
        </w:rPr>
      </w:pPr>
      <w:r>
        <w:rPr>
          <w:b/>
          <w:color w:val="000000"/>
        </w:rPr>
        <w:t>ACTIVIDADES COMPLEMENTARIAS Y EXTRAESCOLARES</w:t>
      </w:r>
    </w:p>
    <w:p>
      <w:pPr>
        <w:pStyle w:val="Normal"/>
        <w:keepNext w:val="true"/>
        <w:pBdr/>
        <w:spacing w:lineRule="auto" w:line="360"/>
        <w:ind w:hanging="2"/>
        <w:jc w:val="both"/>
        <w:rPr>
          <w:color w:val="000000"/>
        </w:rPr>
      </w:pPr>
      <w:r>
        <w:rPr>
          <w:color w:val="000000"/>
        </w:rPr>
        <w:t>Las actividades complementarias previstas para el curso 2025/2026 serán las siguientes, siempre y cuando la situación lo permita.</w:t>
      </w:r>
    </w:p>
    <w:p>
      <w:pPr>
        <w:pStyle w:val="Normal"/>
        <w:keepNext w:val="true"/>
        <w:numPr>
          <w:ilvl w:val="0"/>
          <w:numId w:val="9"/>
        </w:numPr>
        <w:pBdr/>
        <w:spacing w:lineRule="auto" w:line="360"/>
        <w:ind w:left="0" w:hanging="2"/>
        <w:jc w:val="both"/>
        <w:rPr>
          <w:color w:val="000000"/>
        </w:rPr>
      </w:pPr>
      <w:r>
        <w:rPr>
          <w:color w:val="000000"/>
        </w:rPr>
        <w:t>Realizaremos pausas activas en clase para contribuir a la mejora postural en el puesto de trabajo, así como de patrón cruzado para mejorar la atención y concentración.</w:t>
      </w:r>
    </w:p>
    <w:p>
      <w:pPr>
        <w:pStyle w:val="Normal"/>
        <w:keepNext w:val="true"/>
        <w:numPr>
          <w:ilvl w:val="0"/>
          <w:numId w:val="9"/>
        </w:numPr>
        <w:pBdr/>
        <w:spacing w:lineRule="auto" w:line="360"/>
        <w:ind w:left="0" w:hanging="2"/>
        <w:jc w:val="both"/>
        <w:rPr>
          <w:color w:val="000000"/>
        </w:rPr>
      </w:pPr>
      <w:r>
        <w:rPr>
          <w:color w:val="000000"/>
        </w:rPr>
        <w:t>Realización de dinámicas para conocimiento y cohesión de grupo.</w:t>
      </w:r>
    </w:p>
    <w:p>
      <w:pPr>
        <w:pStyle w:val="Normal"/>
        <w:keepNext w:val="true"/>
        <w:numPr>
          <w:ilvl w:val="0"/>
          <w:numId w:val="9"/>
        </w:numPr>
        <w:pBdr/>
        <w:spacing w:lineRule="auto" w:line="360"/>
        <w:ind w:left="0" w:hanging="2"/>
        <w:jc w:val="both"/>
        <w:rPr>
          <w:color w:val="000000"/>
        </w:rPr>
      </w:pPr>
      <w:r>
        <w:rPr>
          <w:color w:val="000000"/>
        </w:rPr>
        <w:t>Actividades tipo control de los libros  “Emociones Expresadas, Emociones Superadas” y “Comunicación no violenta”.</w:t>
      </w:r>
    </w:p>
    <w:p>
      <w:pPr>
        <w:pStyle w:val="Normal"/>
        <w:keepNext w:val="true"/>
        <w:numPr>
          <w:ilvl w:val="0"/>
          <w:numId w:val="9"/>
        </w:numPr>
        <w:pBdr/>
        <w:spacing w:lineRule="auto" w:line="360"/>
        <w:ind w:left="0" w:hanging="2"/>
        <w:jc w:val="both"/>
        <w:rPr>
          <w:color w:val="000000"/>
        </w:rPr>
      </w:pPr>
      <w:r>
        <w:rPr>
          <w:color w:val="000000"/>
        </w:rPr>
        <w:t xml:space="preserve">Actividades de planificación del día a día a través de agenda. </w:t>
      </w:r>
    </w:p>
    <w:p>
      <w:pPr>
        <w:pStyle w:val="Normal"/>
        <w:keepNext w:val="true"/>
        <w:numPr>
          <w:ilvl w:val="0"/>
          <w:numId w:val="9"/>
        </w:numPr>
        <w:pBdr/>
        <w:spacing w:lineRule="auto" w:line="360"/>
        <w:ind w:left="0" w:hanging="2"/>
        <w:jc w:val="both"/>
        <w:rPr>
          <w:color w:val="000000"/>
        </w:rPr>
      </w:pPr>
      <w:r>
        <w:rPr>
          <w:color w:val="000000"/>
        </w:rPr>
        <w:t xml:space="preserve">Actividad intercentros: Charla sobre la Junta Arbitral de Consumo posiblemente conjuntamente  con el IES LOS </w:t>
      </w:r>
      <w:r>
        <w:rPr/>
        <w:t>ÁNGELES</w:t>
      </w:r>
      <w:r>
        <w:rPr>
          <w:color w:val="000000"/>
        </w:rPr>
        <w:t xml:space="preserve">. </w:t>
      </w:r>
    </w:p>
    <w:p>
      <w:pPr>
        <w:pStyle w:val="Normal"/>
        <w:keepNext w:val="true"/>
        <w:numPr>
          <w:ilvl w:val="0"/>
          <w:numId w:val="9"/>
        </w:numPr>
        <w:pBdr/>
        <w:spacing w:lineRule="auto" w:line="360"/>
        <w:ind w:left="0" w:hanging="2"/>
        <w:jc w:val="both"/>
        <w:rPr>
          <w:color w:val="000000"/>
        </w:rPr>
      </w:pPr>
      <w:r>
        <w:rPr>
          <w:color w:val="000000"/>
        </w:rPr>
        <w:t>Actividades de concienciación con motivo del Día contra la Violencia de género, el Día de la Paz y el Día de la Mujer.</w:t>
      </w:r>
    </w:p>
    <w:p>
      <w:pPr>
        <w:pStyle w:val="Normal"/>
        <w:keepNext w:val="true"/>
        <w:numPr>
          <w:ilvl w:val="0"/>
          <w:numId w:val="9"/>
        </w:numPr>
        <w:pBdr/>
        <w:spacing w:lineRule="auto" w:line="360"/>
        <w:ind w:left="0" w:hanging="2"/>
        <w:jc w:val="both"/>
        <w:rPr>
          <w:color w:val="000000"/>
        </w:rPr>
      </w:pPr>
      <w:r>
        <w:rPr>
          <w:color w:val="000000"/>
        </w:rPr>
        <w:t>Visita a la Oficina de Correos.</w:t>
      </w:r>
    </w:p>
    <w:p>
      <w:pPr>
        <w:pStyle w:val="Normal"/>
        <w:keepNext w:val="true"/>
        <w:numPr>
          <w:ilvl w:val="0"/>
          <w:numId w:val="9"/>
        </w:numPr>
        <w:pBdr/>
        <w:spacing w:lineRule="auto" w:line="360"/>
        <w:ind w:left="0" w:hanging="2"/>
        <w:jc w:val="both"/>
        <w:rPr>
          <w:color w:val="000000"/>
        </w:rPr>
      </w:pPr>
      <w:r>
        <w:rPr>
          <w:color w:val="000000"/>
        </w:rPr>
        <w:t>Visita al Archivo Histórico de Almería.</w:t>
      </w:r>
    </w:p>
    <w:p>
      <w:pPr>
        <w:pStyle w:val="Normal"/>
        <w:keepNext w:val="true"/>
        <w:numPr>
          <w:ilvl w:val="0"/>
          <w:numId w:val="9"/>
        </w:numPr>
        <w:pBdr/>
        <w:spacing w:lineRule="auto" w:line="360"/>
        <w:ind w:left="0" w:hanging="2"/>
        <w:jc w:val="both"/>
        <w:rPr>
          <w:color w:val="000000"/>
        </w:rPr>
      </w:pPr>
      <w:r>
        <w:rPr>
          <w:color w:val="000000"/>
        </w:rPr>
        <w:t>Actividades donde se desarrolle la creatividad y la cultura emprendedora.</w:t>
      </w:r>
    </w:p>
    <w:p>
      <w:pPr>
        <w:pStyle w:val="Normal"/>
        <w:keepNext w:val="true"/>
        <w:numPr>
          <w:ilvl w:val="0"/>
          <w:numId w:val="9"/>
        </w:numPr>
        <w:pBdr/>
        <w:spacing w:lineRule="auto" w:line="360"/>
        <w:ind w:left="0" w:hanging="2"/>
        <w:jc w:val="both"/>
        <w:rPr>
          <w:color w:val="000000"/>
        </w:rPr>
      </w:pPr>
      <w:r>
        <w:rPr>
          <w:color w:val="000000"/>
        </w:rPr>
        <w:t>Actividades de CIMA</w:t>
      </w:r>
    </w:p>
    <w:p>
      <w:pPr>
        <w:pStyle w:val="Normal"/>
        <w:keepNext w:val="true"/>
        <w:numPr>
          <w:ilvl w:val="0"/>
          <w:numId w:val="9"/>
        </w:numPr>
        <w:pBdr/>
        <w:spacing w:lineRule="auto" w:line="360"/>
        <w:ind w:left="0" w:hanging="2"/>
        <w:jc w:val="both"/>
        <w:rPr>
          <w:color w:val="000000"/>
        </w:rPr>
      </w:pPr>
      <w:r>
        <w:rPr>
          <w:color w:val="000000"/>
        </w:rPr>
        <w:t>Actividades de concienciación sobre el medio ambiente, producción y consumo responsable.</w:t>
      </w:r>
    </w:p>
    <w:p>
      <w:pPr>
        <w:pStyle w:val="Normal"/>
        <w:spacing w:lineRule="auto" w:line="276"/>
        <w:ind w:hanging="2"/>
        <w:jc w:val="both"/>
        <w:rPr/>
      </w:pPr>
      <w:r>
        <w:rPr/>
      </w:r>
    </w:p>
    <w:p>
      <w:pPr>
        <w:pStyle w:val="Normal"/>
        <w:keepNext w:val="true"/>
        <w:pBdr/>
        <w:spacing w:lineRule="auto" w:line="360" w:before="0" w:after="120"/>
        <w:ind w:hanging="0"/>
        <w:jc w:val="both"/>
        <w:rPr>
          <w:color w:val="000000"/>
        </w:rPr>
      </w:pPr>
      <w:r>
        <w:rPr>
          <w:b/>
          <w:color w:val="000000"/>
        </w:rPr>
        <w:t>11. ATENCIÓN A LA DIVERSIDAD Y ADAPTACIONES CURRICULARES</w:t>
      </w:r>
    </w:p>
    <w:p>
      <w:pPr>
        <w:pStyle w:val="Normal"/>
        <w:keepNext w:val="true"/>
        <w:pBdr/>
        <w:spacing w:lineRule="auto" w:line="360" w:before="0" w:after="120"/>
        <w:ind w:hanging="0"/>
        <w:jc w:val="both"/>
        <w:rPr>
          <w:color w:val="000000"/>
        </w:rPr>
      </w:pPr>
      <w:r>
        <w:rPr>
          <w:color w:val="000000"/>
        </w:rPr>
        <w:t>Según Real Decreto 659/2023 de 18 de julio, artículo 15 Atención a las diferencias individuales: ”1. Las administraciones responsables de cada oferta fomentarán la equidad e inclusión, la igualdad de oportunidades y la no discriminación en la formación profesional a lo largo de la vida laboral, adoptando al efecto las medidas de flexibilización y las alternativas metodológicas de accesibilidad ala currículo, de adaptación temporal y diseño universal que sean necesarias para conseguir que toda persona pueda acceder  a una formación profesional de calidad a lo largo de la vida laboral en igualdad de oportunidades en todos y cada uno de los Grados previstos en el Sistema de Formación Profesional. 2.Se entenderá por personas con necesidades específicas de apoyo educativo o formativo aquellas que, con independencia de que estas tengan su origen en condiciones personales. sociales o de cualquier otro tipo, generen la necesidad de una atención diferente a la ordinaria durante su formación para que las personas puedan alcanzar las competencias profesionales y para la empleabilidad previstas en cada acción formativa.3.La atención diferenciada que requieran determinadas personas se rige por: a) Los principios de normalización, inclusión y accesibilidad. B) La adaptación de condiciones facilitadoras de la adquisición de los aprendizajes y de las evaluaciones a las necesidades precisadas de apoyo formativo…..”</w:t>
      </w:r>
    </w:p>
    <w:p>
      <w:pPr>
        <w:pStyle w:val="Normal"/>
        <w:pBdr/>
        <w:spacing w:lineRule="auto" w:line="360" w:before="0" w:after="120"/>
        <w:ind w:hanging="2"/>
        <w:jc w:val="both"/>
        <w:rPr>
          <w:color w:val="111111"/>
          <w:sz w:val="23"/>
          <w:szCs w:val="23"/>
          <w:shd w:fill="FFFFFF" w:val="clear"/>
        </w:rPr>
      </w:pPr>
      <w:r>
        <w:rPr>
          <w:color w:val="111111"/>
          <w:sz w:val="23"/>
          <w:szCs w:val="23"/>
          <w:shd w:fill="FFFFFF" w:val="clear"/>
        </w:rPr>
        <w:t> </w:t>
      </w:r>
      <w:r>
        <w:rPr>
          <w:color w:val="111111"/>
          <w:shd w:fill="FFFFFF" w:val="clear"/>
        </w:rPr>
        <w:t>En virtud del artículo 36 del Real Decreto 659/2023, de 18 de julio, la evaluación de la modalidad dirigida a personas con necesidades educativas o formativas especiales tendrá carácter continuo, formativo, integrador, se realizará conforme al Diseño Universal para el Aprendizaje (DUA) y priorizará la dimensión práctica de los aprendizajes. Conforme al artículo 18.2 del citado real decreto, la evaluación debe respetar las necesidades de adaptación metodológica, de ampliación de tiempos y de recursos de las personas con necesidades específicas de apoyo educativo o formativo. Estas adaptaciones en ningún caso, estas adaptaciones se tendrán en cuenta para minorar las calificaciones obtenidas</w:t>
      </w:r>
      <w:r>
        <w:rPr>
          <w:color w:val="111111"/>
          <w:sz w:val="23"/>
          <w:szCs w:val="23"/>
          <w:shd w:fill="FFFFFF" w:val="clear"/>
        </w:rPr>
        <w:t>.</w:t>
      </w:r>
    </w:p>
    <w:p>
      <w:pPr>
        <w:pStyle w:val="Normal"/>
        <w:pBdr/>
        <w:spacing w:lineRule="auto" w:line="360" w:before="0" w:after="120"/>
        <w:ind w:hanging="2"/>
        <w:jc w:val="both"/>
        <w:rPr>
          <w:color w:val="000000"/>
        </w:rPr>
      </w:pPr>
      <w:r>
        <w:rPr>
          <w:b/>
          <w:color w:val="000000"/>
        </w:rPr>
        <w:t>1º AFI A:</w:t>
      </w:r>
      <w:r>
        <w:rPr>
          <w:color w:val="000000"/>
        </w:rPr>
        <w:t xml:space="preserve"> un alumno tiene movilidad reducida por tanto se tendrá en cuenta a la hora de realizar cualquier tipo de actividad. Además se procederá: </w:t>
      </w:r>
    </w:p>
    <w:p>
      <w:pPr>
        <w:pStyle w:val="Normal"/>
        <w:numPr>
          <w:ilvl w:val="0"/>
          <w:numId w:val="36"/>
        </w:numPr>
        <w:shd w:val="clear" w:color="auto" w:fill="FFFFFF"/>
        <w:spacing w:lineRule="atLeast" w:line="360" w:before="0" w:after="180"/>
        <w:ind w:left="1134" w:hanging="0"/>
        <w:rPr>
          <w:rFonts w:eastAsia="Times New Roman"/>
          <w:color w:val="0A0A0A"/>
          <w:lang w:val="es-ES"/>
        </w:rPr>
      </w:pPr>
      <w:r>
        <w:rPr>
          <w:rFonts w:eastAsia="Times New Roman"/>
          <w:b/>
          <w:bCs/>
          <w:color w:val="0A0A0A"/>
          <w:lang w:val="es-ES"/>
        </w:rPr>
        <w:t>Eliminar barreras:</w:t>
      </w:r>
      <w:r>
        <w:rPr>
          <w:rFonts w:eastAsia="Times New Roman"/>
          <w:color w:val="0A0A0A"/>
          <w:lang w:val="es-ES"/>
        </w:rPr>
        <w:t> Mantener los pasillos y áreas de circulación despejados de objetos.</w:t>
      </w:r>
    </w:p>
    <w:p>
      <w:pPr>
        <w:pStyle w:val="Normal"/>
        <w:numPr>
          <w:ilvl w:val="0"/>
          <w:numId w:val="36"/>
        </w:numPr>
        <w:shd w:val="clear" w:color="auto" w:fill="FFFFFF"/>
        <w:spacing w:lineRule="atLeast" w:line="360" w:before="0" w:after="180"/>
        <w:ind w:left="1134" w:hanging="0"/>
        <w:rPr>
          <w:rFonts w:eastAsia="Times New Roman"/>
          <w:color w:val="0A0A0A"/>
          <w:lang w:val="es-ES"/>
        </w:rPr>
      </w:pPr>
      <w:r>
        <w:rPr>
          <w:rFonts w:eastAsia="Times New Roman"/>
          <w:b/>
          <w:bCs/>
          <w:color w:val="0A0A0A"/>
          <w:lang w:val="es-ES"/>
        </w:rPr>
        <w:t>Adaptar el entorno:</w:t>
      </w:r>
      <w:r>
        <w:rPr>
          <w:rFonts w:eastAsia="Times New Roman"/>
          <w:color w:val="0A0A0A"/>
          <w:lang w:val="es-ES"/>
        </w:rPr>
        <w:t> Colocar el material necesario al alcance de la persona y asegurarse de que la pizarra y otros elementos estén a una altura adecuada.</w:t>
      </w:r>
    </w:p>
    <w:p>
      <w:pPr>
        <w:pStyle w:val="Normal"/>
        <w:numPr>
          <w:ilvl w:val="0"/>
          <w:numId w:val="36"/>
        </w:numPr>
        <w:shd w:val="clear" w:color="auto" w:fill="FFFFFF"/>
        <w:spacing w:lineRule="atLeast" w:line="360" w:before="0" w:after="180"/>
        <w:ind w:left="1134" w:hanging="0"/>
        <w:rPr>
          <w:rFonts w:eastAsia="Times New Roman"/>
          <w:color w:val="0A0A0A"/>
          <w:lang w:val="es-ES"/>
        </w:rPr>
      </w:pPr>
      <w:r>
        <w:rPr>
          <w:rFonts w:eastAsia="Times New Roman"/>
          <w:b/>
          <w:bCs/>
          <w:color w:val="0A0A0A"/>
          <w:lang w:val="es-ES"/>
        </w:rPr>
        <w:t>Seguridad:</w:t>
      </w:r>
      <w:r>
        <w:rPr>
          <w:rFonts w:eastAsia="Times New Roman"/>
          <w:color w:val="0A0A0A"/>
          <w:lang w:val="es-ES"/>
        </w:rPr>
        <w:t> Evitar movimientos bruscos y preguntar antes de ayudar a sortear obstáculos o desniveles. </w:t>
      </w:r>
    </w:p>
    <w:p>
      <w:pPr>
        <w:pStyle w:val="Normal"/>
        <w:numPr>
          <w:ilvl w:val="0"/>
          <w:numId w:val="35"/>
        </w:numPr>
        <w:shd w:val="clear" w:color="auto" w:fill="FFFFFF"/>
        <w:spacing w:lineRule="atLeast" w:line="360" w:before="0" w:after="180"/>
        <w:ind w:left="1134" w:hanging="0"/>
        <w:rPr>
          <w:rFonts w:eastAsia="Times New Roman"/>
          <w:color w:val="0A0A0A"/>
          <w:lang w:val="es-ES"/>
        </w:rPr>
      </w:pPr>
      <w:r>
        <w:rPr>
          <w:rFonts w:eastAsia="Times New Roman"/>
          <w:b/>
          <w:bCs/>
          <w:color w:val="0A0A0A"/>
          <w:lang w:val="es-ES"/>
        </w:rPr>
        <w:t>Promover la independencia:</w:t>
      </w:r>
      <w:r>
        <w:rPr>
          <w:rFonts w:eastAsia="Times New Roman"/>
          <w:color w:val="0A0A0A"/>
          <w:lang w:val="es-ES"/>
        </w:rPr>
        <w:t> Facilitar que la persona realice las tareas por sí misma en la medida de lo posible, para fomentar su autonomía. </w:t>
      </w:r>
    </w:p>
    <w:p>
      <w:pPr>
        <w:pStyle w:val="Normal"/>
        <w:ind w:hanging="2"/>
        <w:jc w:val="both"/>
        <w:rPr>
          <w:color w:val="000000"/>
        </w:rPr>
      </w:pPr>
      <w:r>
        <w:rPr>
          <w:b/>
          <w:color w:val="000000"/>
        </w:rPr>
        <w:t>12 PROCEDIMIENTO DE SEGUIMIENTO DE LA PROGRAMACIÓN</w:t>
      </w:r>
    </w:p>
    <w:p>
      <w:pPr>
        <w:pStyle w:val="Normal"/>
        <w:keepNext w:val="true"/>
        <w:pBdr/>
        <w:spacing w:lineRule="auto" w:line="360"/>
        <w:ind w:hanging="2"/>
        <w:jc w:val="both"/>
        <w:rPr>
          <w:color w:val="000000"/>
        </w:rPr>
      </w:pPr>
      <w:r>
        <w:rPr>
          <w:color w:val="000000"/>
        </w:rPr>
        <w:t>La profesora irá anotando en su cuaderno diario los contenidos, ejercicios y actividades que se hacen cada día en el aula; así como la unidad de trabajo, talleres o proyectos que se están trabajando y días empleados comparando estos datos con los establecidos en la programación. De este modo podrá ver si existe retraso en  los contenidos y analizar las causas. También podrá ver si se han conseguido los objetivos programados</w:t>
      </w:r>
    </w:p>
    <w:p>
      <w:pPr>
        <w:pStyle w:val="Normal"/>
        <w:keepNext w:val="true"/>
        <w:pBdr/>
        <w:spacing w:lineRule="auto" w:line="360"/>
        <w:ind w:hanging="2"/>
        <w:jc w:val="both"/>
        <w:rPr>
          <w:color w:val="000000"/>
        </w:rPr>
      </w:pPr>
      <w:r>
        <w:rPr>
          <w:color w:val="000000"/>
        </w:rPr>
        <w:t>.</w:t>
      </w:r>
      <w:r>
        <w:br w:type="page"/>
      </w:r>
    </w:p>
    <w:p>
      <w:pPr>
        <w:pStyle w:val="Normal"/>
        <w:keepNext w:val="true"/>
        <w:pBdr/>
        <w:spacing w:before="120" w:after="120"/>
        <w:ind w:hanging="0"/>
        <w:jc w:val="both"/>
        <w:rPr>
          <w:color w:val="000000"/>
        </w:rPr>
      </w:pPr>
      <w:r>
        <w:rPr>
          <w:b/>
          <w:color w:val="000000"/>
        </w:rPr>
        <w:t>13 BLOQUES TEMÁTICOS Y UNIDADES DIDÁCTICAS SEGÚN BLOQUES TEMÁTICOS Y TEMPORIZACIÓN</w:t>
      </w:r>
    </w:p>
    <w:p>
      <w:pPr>
        <w:pStyle w:val="Normal"/>
        <w:keepNext w:val="true"/>
        <w:pBdr/>
        <w:spacing w:before="0" w:after="240"/>
        <w:ind w:hanging="2"/>
        <w:jc w:val="both"/>
        <w:rPr>
          <w:rFonts w:ascii="Times New Roman" w:hAnsi="Times New Roman" w:eastAsia="Times New Roman" w:cs="Times New Roman"/>
          <w:b/>
          <w:b/>
          <w:color w:val="000000"/>
        </w:rPr>
      </w:pPr>
      <w:r>
        <w:rPr>
          <w:rFonts w:eastAsia="Times New Roman" w:cs="Times New Roman" w:ascii="Times New Roman" w:hAnsi="Times New Roman"/>
          <w:b/>
          <w:color w:val="000000"/>
        </w:rPr>
        <w:t>11.1. BLOQUES TEMÁTICOS</w:t>
      </w:r>
    </w:p>
    <w:p>
      <w:pPr>
        <w:pStyle w:val="Normal"/>
        <w:ind w:hanging="2"/>
        <w:jc w:val="both"/>
        <w:rPr>
          <w:rFonts w:ascii="Times New Roman" w:hAnsi="Times New Roman" w:eastAsia="Times New Roman" w:cs="Times New Roman"/>
        </w:rPr>
      </w:pPr>
      <w:r>
        <w:rPr>
          <w:rFonts w:eastAsia="Times New Roman" w:cs="Times New Roman" w:ascii="Times New Roman" w:hAnsi="Times New Roman"/>
        </w:rPr>
      </w:r>
    </w:p>
    <w:tbl>
      <w:tblPr>
        <w:tblStyle w:val="affffff3"/>
        <w:tblW w:w="9249" w:type="dxa"/>
        <w:jc w:val="center"/>
        <w:tblInd w:w="0" w:type="dxa"/>
        <w:tblLayout w:type="fixed"/>
        <w:tblCellMar>
          <w:top w:w="0" w:type="dxa"/>
          <w:left w:w="108" w:type="dxa"/>
          <w:bottom w:w="0" w:type="dxa"/>
          <w:right w:w="108" w:type="dxa"/>
        </w:tblCellMar>
        <w:tblLook w:val="0000" w:noHBand="0" w:noVBand="0" w:firstColumn="0" w:lastRow="0" w:lastColumn="0" w:firstRow="0"/>
      </w:tblPr>
      <w:tblGrid>
        <w:gridCol w:w="2127"/>
        <w:gridCol w:w="7121"/>
      </w:tblGrid>
      <w:tr>
        <w:trPr/>
        <w:tc>
          <w:tcPr>
            <w:tcW w:w="2127" w:type="dxa"/>
            <w:tcBorders>
              <w:top w:val="single" w:sz="4" w:space="0" w:color="000000"/>
              <w:left w:val="single" w:sz="4" w:space="0" w:color="000000"/>
              <w:bottom w:val="single" w:sz="4" w:space="0" w:color="000000"/>
              <w:right w:val="single" w:sz="4" w:space="0" w:color="000000"/>
            </w:tcBorders>
            <w:shd w:color="auto" w:fill="C0C0C0" w:val="clear"/>
          </w:tcPr>
          <w:p>
            <w:pPr>
              <w:pStyle w:val="Normal"/>
              <w:widowControl w:val="false"/>
              <w:spacing w:before="120" w:after="120"/>
              <w:ind w:hanging="2"/>
              <w:jc w:val="center"/>
              <w:rPr>
                <w:rFonts w:ascii="Times New Roman" w:hAnsi="Times New Roman" w:eastAsia="Times New Roman" w:cs="Times New Roman"/>
              </w:rPr>
            </w:pPr>
            <w:r>
              <w:rPr>
                <w:rFonts w:eastAsia="Times New Roman" w:cs="Times New Roman" w:ascii="Times New Roman" w:hAnsi="Times New Roman"/>
                <w:b/>
              </w:rPr>
              <w:t>Resultados de Aprendizaje</w:t>
            </w:r>
          </w:p>
        </w:tc>
        <w:tc>
          <w:tcPr>
            <w:tcW w:w="7121" w:type="dxa"/>
            <w:tcBorders>
              <w:top w:val="single" w:sz="4" w:space="0" w:color="000000"/>
              <w:left w:val="single" w:sz="4" w:space="0" w:color="000000"/>
              <w:bottom w:val="single" w:sz="4" w:space="0" w:color="000000"/>
              <w:right w:val="single" w:sz="4" w:space="0" w:color="000000"/>
            </w:tcBorders>
            <w:shd w:color="auto" w:fill="C0C0C0" w:val="clear"/>
          </w:tcPr>
          <w:p>
            <w:pPr>
              <w:pStyle w:val="Normal"/>
              <w:widowControl w:val="false"/>
              <w:spacing w:before="120" w:after="120"/>
              <w:ind w:hanging="2"/>
              <w:jc w:val="center"/>
              <w:rPr>
                <w:rFonts w:ascii="Times New Roman" w:hAnsi="Times New Roman" w:eastAsia="Times New Roman" w:cs="Times New Roman"/>
              </w:rPr>
            </w:pPr>
            <w:r>
              <w:rPr>
                <w:rFonts w:eastAsia="Times New Roman" w:cs="Times New Roman" w:ascii="Times New Roman" w:hAnsi="Times New Roman"/>
                <w:b/>
              </w:rPr>
              <w:t>Título</w:t>
            </w:r>
          </w:p>
        </w:tc>
      </w:tr>
      <w:tr>
        <w:trPr/>
        <w:tc>
          <w:tcPr>
            <w:tcW w:w="2127" w:type="dxa"/>
            <w:tcBorders>
              <w:top w:val="single" w:sz="4" w:space="0" w:color="000000"/>
              <w:left w:val="single" w:sz="4" w:space="0" w:color="000000"/>
              <w:bottom w:val="single" w:sz="4" w:space="0" w:color="000000"/>
              <w:right w:val="single" w:sz="4" w:space="0" w:color="000000"/>
            </w:tcBorders>
          </w:tcPr>
          <w:p>
            <w:pPr>
              <w:pStyle w:val="Normal"/>
              <w:widowControl w:val="false"/>
              <w:spacing w:before="120" w:after="120"/>
              <w:ind w:hanging="2"/>
              <w:jc w:val="both"/>
              <w:rPr>
                <w:rFonts w:ascii="Times New Roman" w:hAnsi="Times New Roman" w:eastAsia="Times New Roman" w:cs="Times New Roman"/>
              </w:rPr>
            </w:pPr>
            <w:r>
              <w:rPr>
                <w:rFonts w:eastAsia="Times New Roman" w:cs="Times New Roman" w:ascii="Times New Roman" w:hAnsi="Times New Roman"/>
              </w:rPr>
              <w:t>R.A. 1</w:t>
            </w:r>
          </w:p>
        </w:tc>
        <w:tc>
          <w:tcPr>
            <w:tcW w:w="7121" w:type="dxa"/>
            <w:tcBorders>
              <w:top w:val="single" w:sz="4" w:space="0" w:color="000000"/>
              <w:left w:val="single" w:sz="4" w:space="0" w:color="000000"/>
              <w:bottom w:val="single" w:sz="4" w:space="0" w:color="000000"/>
              <w:right w:val="single" w:sz="4" w:space="0" w:color="000000"/>
            </w:tcBorders>
          </w:tcPr>
          <w:p>
            <w:pPr>
              <w:pStyle w:val="Normal"/>
              <w:widowControl w:val="false"/>
              <w:spacing w:before="120" w:after="120"/>
              <w:ind w:hanging="2"/>
              <w:jc w:val="both"/>
              <w:rPr>
                <w:rFonts w:ascii="Times New Roman" w:hAnsi="Times New Roman" w:eastAsia="Times New Roman" w:cs="Times New Roman"/>
              </w:rPr>
            </w:pPr>
            <w:r>
              <w:rPr/>
              <w:t>Caracteriza técnicas de comunicación institucional y promocional, distinguiendo entre internas y externas</w:t>
            </w:r>
          </w:p>
        </w:tc>
      </w:tr>
      <w:tr>
        <w:trPr/>
        <w:tc>
          <w:tcPr>
            <w:tcW w:w="2127" w:type="dxa"/>
            <w:tcBorders>
              <w:top w:val="single" w:sz="4" w:space="0" w:color="000000"/>
              <w:left w:val="single" w:sz="4" w:space="0" w:color="000000"/>
              <w:bottom w:val="single" w:sz="4" w:space="0" w:color="000000"/>
              <w:right w:val="single" w:sz="4" w:space="0" w:color="000000"/>
            </w:tcBorders>
          </w:tcPr>
          <w:p>
            <w:pPr>
              <w:pStyle w:val="Normal"/>
              <w:widowControl w:val="false"/>
              <w:spacing w:before="120" w:after="120"/>
              <w:ind w:hanging="2"/>
              <w:jc w:val="both"/>
              <w:rPr>
                <w:rFonts w:ascii="Times New Roman" w:hAnsi="Times New Roman" w:eastAsia="Times New Roman" w:cs="Times New Roman"/>
              </w:rPr>
            </w:pPr>
            <w:r>
              <w:rPr>
                <w:rFonts w:eastAsia="Times New Roman" w:cs="Times New Roman" w:ascii="Times New Roman" w:hAnsi="Times New Roman"/>
              </w:rPr>
              <w:t>R.A. 2</w:t>
            </w:r>
          </w:p>
        </w:tc>
        <w:tc>
          <w:tcPr>
            <w:tcW w:w="7121" w:type="dxa"/>
            <w:tcBorders>
              <w:top w:val="single" w:sz="4" w:space="0" w:color="000000"/>
              <w:left w:val="single" w:sz="4" w:space="0" w:color="000000"/>
              <w:bottom w:val="single" w:sz="4" w:space="0" w:color="000000"/>
              <w:right w:val="single" w:sz="4" w:space="0" w:color="000000"/>
            </w:tcBorders>
          </w:tcPr>
          <w:p>
            <w:pPr>
              <w:pStyle w:val="Normal"/>
              <w:widowControl w:val="false"/>
              <w:spacing w:before="120" w:after="120"/>
              <w:ind w:hanging="2"/>
              <w:jc w:val="both"/>
              <w:rPr>
                <w:rFonts w:ascii="Times New Roman" w:hAnsi="Times New Roman" w:eastAsia="Times New Roman" w:cs="Times New Roman"/>
              </w:rPr>
            </w:pPr>
            <w:r>
              <w:rPr/>
              <w:t>Realiza comunicaciones orales presenciales y no presenciales, aplicando técnicas de comunicación y adaptándolas a la situación y al interlocutor</w:t>
            </w:r>
          </w:p>
        </w:tc>
      </w:tr>
      <w:tr>
        <w:trPr/>
        <w:tc>
          <w:tcPr>
            <w:tcW w:w="2127" w:type="dxa"/>
            <w:tcBorders>
              <w:top w:val="single" w:sz="4" w:space="0" w:color="000000"/>
              <w:left w:val="single" w:sz="4" w:space="0" w:color="000000"/>
              <w:bottom w:val="single" w:sz="4" w:space="0" w:color="000000"/>
              <w:right w:val="single" w:sz="4" w:space="0" w:color="000000"/>
            </w:tcBorders>
          </w:tcPr>
          <w:p>
            <w:pPr>
              <w:pStyle w:val="Normal"/>
              <w:widowControl w:val="false"/>
              <w:spacing w:before="120" w:after="120"/>
              <w:ind w:hanging="2"/>
              <w:jc w:val="both"/>
              <w:rPr>
                <w:rFonts w:ascii="Times New Roman" w:hAnsi="Times New Roman" w:eastAsia="Times New Roman" w:cs="Times New Roman"/>
              </w:rPr>
            </w:pPr>
            <w:r>
              <w:rPr>
                <w:rFonts w:eastAsia="Times New Roman" w:cs="Times New Roman" w:ascii="Times New Roman" w:hAnsi="Times New Roman"/>
              </w:rPr>
              <w:t>R.A. 3</w:t>
            </w:r>
          </w:p>
        </w:tc>
        <w:tc>
          <w:tcPr>
            <w:tcW w:w="7121" w:type="dxa"/>
            <w:tcBorders>
              <w:top w:val="single" w:sz="4" w:space="0" w:color="000000"/>
              <w:left w:val="single" w:sz="4" w:space="0" w:color="000000"/>
              <w:bottom w:val="single" w:sz="4" w:space="0" w:color="000000"/>
              <w:right w:val="single" w:sz="4" w:space="0" w:color="000000"/>
            </w:tcBorders>
          </w:tcPr>
          <w:p>
            <w:pPr>
              <w:pStyle w:val="Normal"/>
              <w:widowControl w:val="false"/>
              <w:spacing w:before="120" w:after="120"/>
              <w:ind w:hanging="2"/>
              <w:jc w:val="both"/>
              <w:rPr>
                <w:rFonts w:ascii="Times New Roman" w:hAnsi="Times New Roman" w:eastAsia="Times New Roman" w:cs="Times New Roman"/>
              </w:rPr>
            </w:pPr>
            <w:r>
              <w:rPr/>
              <w:t>Elabora documentos escritos de carácter profesional, aplicando criterios lingüísticos, ortográficos y de estilo</w:t>
            </w:r>
          </w:p>
        </w:tc>
      </w:tr>
      <w:tr>
        <w:trPr/>
        <w:tc>
          <w:tcPr>
            <w:tcW w:w="2127" w:type="dxa"/>
            <w:tcBorders>
              <w:top w:val="single" w:sz="4" w:space="0" w:color="000000"/>
              <w:left w:val="single" w:sz="4" w:space="0" w:color="000000"/>
              <w:bottom w:val="single" w:sz="4" w:space="0" w:color="000000"/>
              <w:right w:val="single" w:sz="4" w:space="0" w:color="000000"/>
            </w:tcBorders>
          </w:tcPr>
          <w:p>
            <w:pPr>
              <w:pStyle w:val="Normal"/>
              <w:widowControl w:val="false"/>
              <w:spacing w:before="120" w:after="120"/>
              <w:ind w:hanging="2"/>
              <w:jc w:val="both"/>
              <w:rPr>
                <w:rFonts w:ascii="Times New Roman" w:hAnsi="Times New Roman" w:eastAsia="Times New Roman" w:cs="Times New Roman"/>
              </w:rPr>
            </w:pPr>
            <w:r>
              <w:rPr>
                <w:rFonts w:eastAsia="Times New Roman" w:cs="Times New Roman" w:ascii="Times New Roman" w:hAnsi="Times New Roman"/>
              </w:rPr>
              <w:t>R.A. 4</w:t>
            </w:r>
          </w:p>
        </w:tc>
        <w:tc>
          <w:tcPr>
            <w:tcW w:w="7121" w:type="dxa"/>
            <w:tcBorders>
              <w:top w:val="single" w:sz="4" w:space="0" w:color="000000"/>
              <w:left w:val="single" w:sz="4" w:space="0" w:color="000000"/>
              <w:bottom w:val="single" w:sz="4" w:space="0" w:color="000000"/>
              <w:right w:val="single" w:sz="4" w:space="0" w:color="000000"/>
            </w:tcBorders>
          </w:tcPr>
          <w:p>
            <w:pPr>
              <w:pStyle w:val="Normal"/>
              <w:widowControl w:val="false"/>
              <w:spacing w:before="120" w:after="120"/>
              <w:ind w:hanging="2"/>
              <w:jc w:val="both"/>
              <w:rPr>
                <w:rFonts w:ascii="Times New Roman" w:hAnsi="Times New Roman" w:eastAsia="Times New Roman" w:cs="Times New Roman"/>
              </w:rPr>
            </w:pPr>
            <w:r>
              <w:rPr/>
              <w:t>Determina los procesos de recepción, registro, distribución y recuperación de comunicaciones escritas, aplicando criterios específicos de cada una de estas tareas.</w:t>
            </w:r>
          </w:p>
        </w:tc>
      </w:tr>
      <w:tr>
        <w:trPr/>
        <w:tc>
          <w:tcPr>
            <w:tcW w:w="2127" w:type="dxa"/>
            <w:tcBorders>
              <w:top w:val="single" w:sz="4" w:space="0" w:color="000000"/>
              <w:left w:val="single" w:sz="4" w:space="0" w:color="000000"/>
              <w:bottom w:val="single" w:sz="4" w:space="0" w:color="000000"/>
              <w:right w:val="single" w:sz="4" w:space="0" w:color="000000"/>
            </w:tcBorders>
          </w:tcPr>
          <w:p>
            <w:pPr>
              <w:pStyle w:val="Normal"/>
              <w:widowControl w:val="false"/>
              <w:spacing w:before="120" w:after="120"/>
              <w:ind w:hanging="2"/>
              <w:jc w:val="both"/>
              <w:rPr>
                <w:rFonts w:ascii="Times New Roman" w:hAnsi="Times New Roman" w:eastAsia="Times New Roman" w:cs="Times New Roman"/>
              </w:rPr>
            </w:pPr>
            <w:r>
              <w:rPr>
                <w:rFonts w:eastAsia="Times New Roman" w:cs="Times New Roman" w:ascii="Times New Roman" w:hAnsi="Times New Roman"/>
              </w:rPr>
              <w:t>R.A. 5</w:t>
            </w:r>
          </w:p>
        </w:tc>
        <w:tc>
          <w:tcPr>
            <w:tcW w:w="7121" w:type="dxa"/>
            <w:tcBorders>
              <w:top w:val="single" w:sz="4" w:space="0" w:color="000000"/>
              <w:left w:val="single" w:sz="4" w:space="0" w:color="000000"/>
              <w:bottom w:val="single" w:sz="4" w:space="0" w:color="000000"/>
              <w:right w:val="single" w:sz="4" w:space="0" w:color="000000"/>
            </w:tcBorders>
          </w:tcPr>
          <w:p>
            <w:pPr>
              <w:pStyle w:val="Normal"/>
              <w:widowControl w:val="false"/>
              <w:spacing w:before="120" w:after="120"/>
              <w:ind w:hanging="2"/>
              <w:jc w:val="both"/>
              <w:rPr>
                <w:rFonts w:ascii="Times New Roman" w:hAnsi="Times New Roman" w:eastAsia="Times New Roman" w:cs="Times New Roman"/>
              </w:rPr>
            </w:pPr>
            <w:r>
              <w:rPr/>
              <w:t>Aplica técnicas de comunicación, identificando las más adecuadas en la relación y atención a los clientes/usuarios.</w:t>
            </w:r>
          </w:p>
        </w:tc>
      </w:tr>
      <w:tr>
        <w:trPr/>
        <w:tc>
          <w:tcPr>
            <w:tcW w:w="2127" w:type="dxa"/>
            <w:tcBorders>
              <w:top w:val="single" w:sz="4" w:space="0" w:color="000000"/>
              <w:left w:val="single" w:sz="4" w:space="0" w:color="000000"/>
              <w:bottom w:val="single" w:sz="4" w:space="0" w:color="000000"/>
              <w:right w:val="single" w:sz="4" w:space="0" w:color="000000"/>
            </w:tcBorders>
          </w:tcPr>
          <w:p>
            <w:pPr>
              <w:pStyle w:val="Normal"/>
              <w:widowControl w:val="false"/>
              <w:spacing w:before="120" w:after="120"/>
              <w:ind w:hanging="2"/>
              <w:jc w:val="both"/>
              <w:rPr>
                <w:rFonts w:ascii="Times New Roman" w:hAnsi="Times New Roman" w:eastAsia="Times New Roman" w:cs="Times New Roman"/>
                <w:i/>
                <w:i/>
              </w:rPr>
            </w:pPr>
            <w:r>
              <w:rPr>
                <w:rFonts w:eastAsia="Times New Roman" w:cs="Times New Roman" w:ascii="Times New Roman" w:hAnsi="Times New Roman"/>
                <w:i/>
              </w:rPr>
              <w:t>R.A. 6</w:t>
            </w:r>
          </w:p>
        </w:tc>
        <w:tc>
          <w:tcPr>
            <w:tcW w:w="7121" w:type="dxa"/>
            <w:tcBorders>
              <w:top w:val="single" w:sz="4" w:space="0" w:color="000000"/>
              <w:left w:val="single" w:sz="4" w:space="0" w:color="000000"/>
              <w:bottom w:val="single" w:sz="4" w:space="0" w:color="000000"/>
              <w:right w:val="single" w:sz="4" w:space="0" w:color="000000"/>
            </w:tcBorders>
          </w:tcPr>
          <w:p>
            <w:pPr>
              <w:pStyle w:val="Normal"/>
              <w:widowControl w:val="false"/>
              <w:spacing w:before="120" w:after="120"/>
              <w:ind w:hanging="2"/>
              <w:jc w:val="both"/>
              <w:rPr>
                <w:rFonts w:ascii="Times New Roman" w:hAnsi="Times New Roman" w:eastAsia="Times New Roman" w:cs="Times New Roman"/>
                <w:i/>
                <w:i/>
              </w:rPr>
            </w:pPr>
            <w:r>
              <w:rPr>
                <w:i/>
              </w:rPr>
              <w:t>Gestiona consultas, quejas y reclamaciones de posibles clientes, aplicando la normativa vigente.</w:t>
            </w:r>
          </w:p>
        </w:tc>
      </w:tr>
      <w:tr>
        <w:trPr/>
        <w:tc>
          <w:tcPr>
            <w:tcW w:w="2127" w:type="dxa"/>
            <w:tcBorders>
              <w:top w:val="single" w:sz="4" w:space="0" w:color="000000"/>
              <w:left w:val="single" w:sz="4" w:space="0" w:color="000000"/>
              <w:bottom w:val="single" w:sz="4" w:space="0" w:color="000000"/>
              <w:right w:val="single" w:sz="4" w:space="0" w:color="000000"/>
            </w:tcBorders>
          </w:tcPr>
          <w:p>
            <w:pPr>
              <w:pStyle w:val="Normal"/>
              <w:widowControl w:val="false"/>
              <w:spacing w:before="120" w:after="120"/>
              <w:ind w:hanging="2"/>
              <w:jc w:val="both"/>
              <w:rPr>
                <w:rFonts w:ascii="Times New Roman" w:hAnsi="Times New Roman" w:eastAsia="Times New Roman" w:cs="Times New Roman"/>
                <w:i/>
                <w:i/>
              </w:rPr>
            </w:pPr>
            <w:r>
              <w:rPr>
                <w:rFonts w:eastAsia="Times New Roman" w:cs="Times New Roman" w:ascii="Times New Roman" w:hAnsi="Times New Roman"/>
                <w:i/>
              </w:rPr>
              <w:t>R.A. 7</w:t>
            </w:r>
          </w:p>
        </w:tc>
        <w:tc>
          <w:tcPr>
            <w:tcW w:w="7121" w:type="dxa"/>
            <w:tcBorders>
              <w:top w:val="single" w:sz="4" w:space="0" w:color="000000"/>
              <w:left w:val="single" w:sz="4" w:space="0" w:color="000000"/>
              <w:bottom w:val="single" w:sz="4" w:space="0" w:color="000000"/>
              <w:right w:val="single" w:sz="4" w:space="0" w:color="000000"/>
            </w:tcBorders>
          </w:tcPr>
          <w:p>
            <w:pPr>
              <w:pStyle w:val="Normal"/>
              <w:widowControl w:val="false"/>
              <w:spacing w:before="120" w:after="120"/>
              <w:ind w:hanging="2"/>
              <w:jc w:val="both"/>
              <w:rPr>
                <w:rFonts w:ascii="Times New Roman" w:hAnsi="Times New Roman" w:eastAsia="Times New Roman" w:cs="Times New Roman"/>
                <w:i/>
                <w:i/>
              </w:rPr>
            </w:pPr>
            <w:r>
              <w:rPr>
                <w:i/>
              </w:rPr>
              <w:t>Organiza el servicio posventa, relacionándolo con la fidelización del cliente.</w:t>
            </w:r>
          </w:p>
        </w:tc>
      </w:tr>
    </w:tbl>
    <w:p>
      <w:pPr>
        <w:pStyle w:val="Normal"/>
        <w:widowControl w:val="false"/>
        <w:pBdr/>
        <w:ind w:hanging="2"/>
        <w:jc w:val="both"/>
        <w:rPr>
          <w:rFonts w:ascii="Calibri" w:hAnsi="Calibri" w:eastAsia="Calibri" w:cs="Calibri"/>
          <w:i/>
          <w:i/>
          <w:color w:val="000000"/>
        </w:rPr>
      </w:pPr>
      <w:r>
        <w:rPr>
          <w:rFonts w:eastAsia="Calibri" w:cs="Calibri" w:ascii="Calibri" w:hAnsi="Calibri"/>
          <w:i/>
          <w:color w:val="000000"/>
        </w:rPr>
      </w:r>
    </w:p>
    <w:p>
      <w:pPr>
        <w:pStyle w:val="Normal"/>
        <w:widowControl w:val="false"/>
        <w:pBdr/>
        <w:ind w:hanging="2"/>
        <w:jc w:val="both"/>
        <w:rPr>
          <w:rFonts w:ascii="Calibri" w:hAnsi="Calibri" w:eastAsia="Calibri" w:cs="Calibri"/>
          <w:i/>
          <w:i/>
          <w:color w:val="000000"/>
        </w:rPr>
      </w:pPr>
      <w:r>
        <w:rPr>
          <w:rFonts w:eastAsia="Calibri" w:cs="Calibri" w:ascii="Calibri" w:hAnsi="Calibri"/>
          <w:i/>
          <w:color w:val="000000"/>
        </w:rPr>
        <w:t>Relación entre los resultados de aprendizaje (en adelante RA) y los Objetivos generales (OG) asociados al módulo.</w:t>
      </w:r>
    </w:p>
    <w:p>
      <w:pPr>
        <w:pStyle w:val="Normal"/>
        <w:widowControl w:val="false"/>
        <w:pBdr/>
        <w:ind w:hanging="2"/>
        <w:jc w:val="both"/>
        <w:rPr>
          <w:rFonts w:ascii="Calibri" w:hAnsi="Calibri" w:eastAsia="Calibri" w:cs="Calibri"/>
          <w:i/>
          <w:i/>
          <w:color w:val="000000"/>
        </w:rPr>
      </w:pPr>
      <w:r>
        <w:rPr>
          <w:rFonts w:eastAsia="Calibri" w:cs="Calibri" w:ascii="Calibri" w:hAnsi="Calibri"/>
          <w:i/>
          <w:color w:val="000000"/>
        </w:rPr>
      </w:r>
    </w:p>
    <w:tbl>
      <w:tblPr>
        <w:tblStyle w:val="affffff4"/>
        <w:tblW w:w="9636" w:type="dxa"/>
        <w:jc w:val="left"/>
        <w:tblInd w:w="2" w:type="dxa"/>
        <w:tblLayout w:type="fixed"/>
        <w:tblCellMar>
          <w:top w:w="55" w:type="dxa"/>
          <w:left w:w="55" w:type="dxa"/>
          <w:bottom w:w="55" w:type="dxa"/>
          <w:right w:w="55" w:type="dxa"/>
        </w:tblCellMar>
        <w:tblLook w:val="0000" w:noHBand="0" w:noVBand="0" w:firstColumn="0" w:lastRow="0" w:lastColumn="0" w:firstRow="0"/>
      </w:tblPr>
      <w:tblGrid>
        <w:gridCol w:w="1816"/>
        <w:gridCol w:w="1181"/>
        <w:gridCol w:w="1133"/>
        <w:gridCol w:w="968"/>
        <w:gridCol w:w="1132"/>
        <w:gridCol w:w="1134"/>
        <w:gridCol w:w="1083"/>
        <w:gridCol w:w="1187"/>
      </w:tblGrid>
      <w:tr>
        <w:trPr/>
        <w:tc>
          <w:tcPr>
            <w:tcW w:w="1816" w:type="dxa"/>
            <w:tcBorders>
              <w:top w:val="single" w:sz="4" w:space="0" w:color="DBEEF3"/>
              <w:left w:val="single" w:sz="4" w:space="0" w:color="DBEEF3"/>
              <w:bottom w:val="single" w:sz="4" w:space="0" w:color="DBEEF3"/>
              <w:right w:val="single" w:sz="4" w:space="0" w:color="DBEEF3"/>
            </w:tcBorders>
            <w:shd w:color="auto" w:fill="DBE5F1" w:val="clear"/>
            <w:vAlign w:val="center"/>
          </w:tcPr>
          <w:p>
            <w:pPr>
              <w:pStyle w:val="Normal"/>
              <w:widowControl w:val="false"/>
              <w:pBdr/>
              <w:ind w:hanging="2"/>
              <w:jc w:val="center"/>
              <w:rPr>
                <w:rFonts w:ascii="Calibri" w:hAnsi="Calibri" w:eastAsia="Calibri" w:cs="Calibri"/>
                <w:i/>
                <w:i/>
                <w:color w:val="000000"/>
                <w:sz w:val="20"/>
                <w:szCs w:val="20"/>
              </w:rPr>
            </w:pPr>
            <w:r>
              <w:rPr>
                <w:rFonts w:eastAsia="Calibri" w:cs="Calibri" w:ascii="Calibri" w:hAnsi="Calibri"/>
                <w:i/>
                <w:color w:val="000000"/>
                <w:sz w:val="20"/>
                <w:szCs w:val="20"/>
              </w:rPr>
              <w:t>OG</w:t>
            </w:r>
          </w:p>
        </w:tc>
        <w:tc>
          <w:tcPr>
            <w:tcW w:w="1181" w:type="dxa"/>
            <w:tcBorders>
              <w:top w:val="single" w:sz="4" w:space="0" w:color="DBEEF3"/>
              <w:left w:val="single" w:sz="4" w:space="0" w:color="DBEEF3"/>
              <w:bottom w:val="single" w:sz="4" w:space="0" w:color="DBEEF3"/>
              <w:right w:val="single" w:sz="4" w:space="0" w:color="DBEEF3"/>
            </w:tcBorders>
            <w:shd w:color="auto" w:fill="DBE5F1" w:val="clear"/>
            <w:vAlign w:val="center"/>
          </w:tcPr>
          <w:p>
            <w:pPr>
              <w:pStyle w:val="Normal"/>
              <w:widowControl w:val="false"/>
              <w:pBdr/>
              <w:ind w:hanging="2"/>
              <w:jc w:val="center"/>
              <w:rPr>
                <w:rFonts w:ascii="Calibri" w:hAnsi="Calibri" w:eastAsia="Calibri" w:cs="Calibri"/>
                <w:i/>
                <w:i/>
                <w:color w:val="000000"/>
                <w:sz w:val="20"/>
                <w:szCs w:val="20"/>
              </w:rPr>
            </w:pPr>
            <w:r>
              <w:rPr>
                <w:rFonts w:eastAsia="Calibri" w:cs="Calibri" w:ascii="Calibri" w:hAnsi="Calibri"/>
                <w:i/>
                <w:color w:val="000000"/>
                <w:sz w:val="20"/>
                <w:szCs w:val="20"/>
              </w:rPr>
              <w:t>RA1</w:t>
            </w:r>
          </w:p>
        </w:tc>
        <w:tc>
          <w:tcPr>
            <w:tcW w:w="1133" w:type="dxa"/>
            <w:tcBorders>
              <w:top w:val="single" w:sz="4" w:space="0" w:color="DBEEF3"/>
              <w:left w:val="single" w:sz="4" w:space="0" w:color="DBEEF3"/>
              <w:bottom w:val="single" w:sz="4" w:space="0" w:color="DBEEF3"/>
              <w:right w:val="single" w:sz="4" w:space="0" w:color="DBEEF3"/>
            </w:tcBorders>
            <w:shd w:color="auto" w:fill="DBE5F1" w:val="clear"/>
            <w:vAlign w:val="center"/>
          </w:tcPr>
          <w:p>
            <w:pPr>
              <w:pStyle w:val="Normal"/>
              <w:widowControl w:val="false"/>
              <w:pBdr/>
              <w:ind w:hanging="2"/>
              <w:jc w:val="center"/>
              <w:rPr>
                <w:rFonts w:ascii="Calibri" w:hAnsi="Calibri" w:eastAsia="Calibri" w:cs="Calibri"/>
                <w:i/>
                <w:i/>
                <w:color w:val="000000"/>
                <w:sz w:val="20"/>
                <w:szCs w:val="20"/>
              </w:rPr>
            </w:pPr>
            <w:r>
              <w:rPr>
                <w:rFonts w:eastAsia="Calibri" w:cs="Calibri" w:ascii="Calibri" w:hAnsi="Calibri"/>
                <w:i/>
                <w:color w:val="000000"/>
                <w:sz w:val="20"/>
                <w:szCs w:val="20"/>
              </w:rPr>
              <w:t>RA2</w:t>
            </w:r>
          </w:p>
        </w:tc>
        <w:tc>
          <w:tcPr>
            <w:tcW w:w="968" w:type="dxa"/>
            <w:tcBorders>
              <w:top w:val="single" w:sz="4" w:space="0" w:color="DBEEF3"/>
              <w:left w:val="single" w:sz="4" w:space="0" w:color="DBEEF3"/>
              <w:bottom w:val="single" w:sz="4" w:space="0" w:color="DBEEF3"/>
              <w:right w:val="single" w:sz="4" w:space="0" w:color="DBEEF3"/>
            </w:tcBorders>
            <w:shd w:color="auto" w:fill="DBE5F1" w:val="clear"/>
            <w:vAlign w:val="center"/>
          </w:tcPr>
          <w:p>
            <w:pPr>
              <w:pStyle w:val="Normal"/>
              <w:widowControl w:val="false"/>
              <w:pBdr/>
              <w:ind w:hanging="2"/>
              <w:jc w:val="center"/>
              <w:rPr>
                <w:rFonts w:ascii="Calibri" w:hAnsi="Calibri" w:eastAsia="Calibri" w:cs="Calibri"/>
                <w:i/>
                <w:i/>
                <w:color w:val="000000"/>
                <w:sz w:val="20"/>
                <w:szCs w:val="20"/>
              </w:rPr>
            </w:pPr>
            <w:r>
              <w:rPr>
                <w:rFonts w:eastAsia="Calibri" w:cs="Calibri" w:ascii="Calibri" w:hAnsi="Calibri"/>
                <w:i/>
                <w:color w:val="000000"/>
                <w:sz w:val="20"/>
                <w:szCs w:val="20"/>
              </w:rPr>
              <w:t>RA3</w:t>
            </w:r>
          </w:p>
        </w:tc>
        <w:tc>
          <w:tcPr>
            <w:tcW w:w="1132" w:type="dxa"/>
            <w:tcBorders>
              <w:top w:val="single" w:sz="4" w:space="0" w:color="DBEEF3"/>
              <w:left w:val="single" w:sz="4" w:space="0" w:color="DBEEF3"/>
              <w:bottom w:val="single" w:sz="4" w:space="0" w:color="DBEEF3"/>
              <w:right w:val="single" w:sz="4" w:space="0" w:color="DBEEF3"/>
            </w:tcBorders>
            <w:shd w:color="auto" w:fill="DBE5F1" w:val="clear"/>
            <w:vAlign w:val="center"/>
          </w:tcPr>
          <w:p>
            <w:pPr>
              <w:pStyle w:val="Normal"/>
              <w:widowControl w:val="false"/>
              <w:pBdr/>
              <w:ind w:hanging="2"/>
              <w:jc w:val="center"/>
              <w:rPr>
                <w:rFonts w:ascii="Calibri" w:hAnsi="Calibri" w:eastAsia="Calibri" w:cs="Calibri"/>
                <w:i/>
                <w:i/>
                <w:color w:val="000000"/>
                <w:sz w:val="20"/>
                <w:szCs w:val="20"/>
              </w:rPr>
            </w:pPr>
            <w:r>
              <w:rPr>
                <w:rFonts w:eastAsia="Calibri" w:cs="Calibri" w:ascii="Calibri" w:hAnsi="Calibri"/>
                <w:i/>
                <w:color w:val="000000"/>
                <w:sz w:val="20"/>
                <w:szCs w:val="20"/>
              </w:rPr>
              <w:t>RA4</w:t>
            </w:r>
          </w:p>
        </w:tc>
        <w:tc>
          <w:tcPr>
            <w:tcW w:w="1134" w:type="dxa"/>
            <w:tcBorders>
              <w:top w:val="single" w:sz="4" w:space="0" w:color="DBEEF3"/>
              <w:left w:val="single" w:sz="4" w:space="0" w:color="DBEEF3"/>
              <w:bottom w:val="single" w:sz="4" w:space="0" w:color="DBEEF3"/>
              <w:right w:val="single" w:sz="4" w:space="0" w:color="DBEEF3"/>
            </w:tcBorders>
            <w:shd w:color="auto" w:fill="DBE5F1" w:val="clear"/>
            <w:vAlign w:val="center"/>
          </w:tcPr>
          <w:p>
            <w:pPr>
              <w:pStyle w:val="Normal"/>
              <w:widowControl w:val="false"/>
              <w:pBdr/>
              <w:ind w:hanging="2"/>
              <w:jc w:val="center"/>
              <w:rPr>
                <w:rFonts w:ascii="Calibri" w:hAnsi="Calibri" w:eastAsia="Calibri" w:cs="Calibri"/>
                <w:i/>
                <w:i/>
                <w:color w:val="000000"/>
                <w:sz w:val="20"/>
                <w:szCs w:val="20"/>
              </w:rPr>
            </w:pPr>
            <w:r>
              <w:rPr>
                <w:rFonts w:eastAsia="Calibri" w:cs="Calibri" w:ascii="Calibri" w:hAnsi="Calibri"/>
                <w:i/>
                <w:color w:val="000000"/>
                <w:sz w:val="20"/>
                <w:szCs w:val="20"/>
              </w:rPr>
              <w:t>RA5</w:t>
            </w:r>
          </w:p>
        </w:tc>
        <w:tc>
          <w:tcPr>
            <w:tcW w:w="1083" w:type="dxa"/>
            <w:tcBorders>
              <w:top w:val="single" w:sz="4" w:space="0" w:color="DBEEF3"/>
              <w:left w:val="single" w:sz="4" w:space="0" w:color="DBEEF3"/>
              <w:bottom w:val="single" w:sz="4" w:space="0" w:color="DBEEF3"/>
              <w:right w:val="single" w:sz="4" w:space="0" w:color="DBEEF3"/>
            </w:tcBorders>
            <w:shd w:color="auto" w:fill="DBE5F1" w:val="clear"/>
            <w:vAlign w:val="center"/>
          </w:tcPr>
          <w:p>
            <w:pPr>
              <w:pStyle w:val="Normal"/>
              <w:widowControl w:val="false"/>
              <w:pBdr/>
              <w:ind w:hanging="2"/>
              <w:jc w:val="center"/>
              <w:rPr>
                <w:rFonts w:ascii="Calibri" w:hAnsi="Calibri" w:eastAsia="Calibri" w:cs="Calibri"/>
                <w:i/>
                <w:i/>
                <w:color w:val="000000"/>
                <w:sz w:val="20"/>
                <w:szCs w:val="20"/>
              </w:rPr>
            </w:pPr>
            <w:r>
              <w:rPr>
                <w:rFonts w:eastAsia="Calibri" w:cs="Calibri" w:ascii="Calibri" w:hAnsi="Calibri"/>
                <w:i/>
                <w:color w:val="000000"/>
                <w:sz w:val="20"/>
                <w:szCs w:val="20"/>
              </w:rPr>
              <w:t>RA6</w:t>
            </w:r>
          </w:p>
        </w:tc>
        <w:tc>
          <w:tcPr>
            <w:tcW w:w="1187" w:type="dxa"/>
            <w:tcBorders>
              <w:top w:val="single" w:sz="4" w:space="0" w:color="DBEEF3"/>
              <w:left w:val="single" w:sz="4" w:space="0" w:color="DBEEF3"/>
              <w:bottom w:val="single" w:sz="4" w:space="0" w:color="DBEEF3"/>
              <w:right w:val="single" w:sz="4" w:space="0" w:color="DBEEF3"/>
            </w:tcBorders>
            <w:shd w:color="auto" w:fill="DBE5F1" w:val="clear"/>
            <w:vAlign w:val="center"/>
          </w:tcPr>
          <w:p>
            <w:pPr>
              <w:pStyle w:val="Normal"/>
              <w:widowControl w:val="false"/>
              <w:pBdr/>
              <w:ind w:hanging="2"/>
              <w:jc w:val="center"/>
              <w:rPr>
                <w:rFonts w:ascii="Calibri" w:hAnsi="Calibri" w:eastAsia="Calibri" w:cs="Calibri"/>
                <w:i/>
                <w:i/>
                <w:color w:val="000000"/>
                <w:sz w:val="20"/>
                <w:szCs w:val="20"/>
              </w:rPr>
            </w:pPr>
            <w:r>
              <w:rPr>
                <w:rFonts w:eastAsia="Calibri" w:cs="Calibri" w:ascii="Calibri" w:hAnsi="Calibri"/>
                <w:i/>
                <w:color w:val="000000"/>
                <w:sz w:val="20"/>
                <w:szCs w:val="20"/>
              </w:rPr>
              <w:t>R.A.7</w:t>
            </w:r>
          </w:p>
        </w:tc>
      </w:tr>
      <w:tr>
        <w:trPr/>
        <w:tc>
          <w:tcPr>
            <w:tcW w:w="1816" w:type="dxa"/>
            <w:tcBorders>
              <w:top w:val="single" w:sz="4" w:space="0" w:color="DBEEF3"/>
              <w:left w:val="single" w:sz="4" w:space="0" w:color="000000"/>
              <w:bottom w:val="single" w:sz="4" w:space="0" w:color="000000"/>
            </w:tcBorders>
          </w:tcPr>
          <w:p>
            <w:pPr>
              <w:pStyle w:val="Normal"/>
              <w:widowControl w:val="false"/>
              <w:pBdr/>
              <w:ind w:hanging="2"/>
              <w:jc w:val="both"/>
              <w:rPr>
                <w:rFonts w:ascii="Calibri" w:hAnsi="Calibri" w:eastAsia="Calibri" w:cs="Calibri"/>
                <w:i/>
                <w:i/>
                <w:color w:val="000000"/>
                <w:sz w:val="20"/>
                <w:szCs w:val="20"/>
              </w:rPr>
            </w:pPr>
            <w:r>
              <w:rPr>
                <w:rFonts w:eastAsia="Calibri" w:cs="Calibri" w:ascii="Calibri" w:hAnsi="Calibri"/>
                <w:i/>
                <w:color w:val="000000"/>
                <w:sz w:val="20"/>
                <w:szCs w:val="20"/>
              </w:rPr>
              <w:t>a</w:t>
            </w:r>
          </w:p>
        </w:tc>
        <w:tc>
          <w:tcPr>
            <w:tcW w:w="1181" w:type="dxa"/>
            <w:tcBorders>
              <w:top w:val="single" w:sz="4" w:space="0" w:color="DBEEF3"/>
              <w:left w:val="single" w:sz="4" w:space="0" w:color="000000"/>
              <w:bottom w:val="single" w:sz="4" w:space="0" w:color="000000"/>
            </w:tcBorders>
          </w:tcPr>
          <w:p>
            <w:pPr>
              <w:pStyle w:val="Normal"/>
              <w:widowControl w:val="false"/>
              <w:pBdr/>
              <w:ind w:hanging="2"/>
              <w:jc w:val="both"/>
              <w:rPr>
                <w:rFonts w:ascii="Calibri" w:hAnsi="Calibri" w:eastAsia="Calibri" w:cs="Calibri"/>
                <w:i/>
                <w:i/>
                <w:color w:val="000000"/>
                <w:sz w:val="20"/>
                <w:szCs w:val="20"/>
              </w:rPr>
            </w:pPr>
            <w:r>
              <w:rPr>
                <w:rFonts w:eastAsia="Calibri" w:cs="Calibri" w:ascii="Calibri" w:hAnsi="Calibri"/>
                <w:i/>
                <w:color w:val="000000"/>
                <w:sz w:val="20"/>
                <w:szCs w:val="20"/>
              </w:rPr>
            </w:r>
          </w:p>
        </w:tc>
        <w:tc>
          <w:tcPr>
            <w:tcW w:w="1133" w:type="dxa"/>
            <w:tcBorders>
              <w:top w:val="single" w:sz="4" w:space="0" w:color="DBEEF3"/>
              <w:left w:val="single" w:sz="4" w:space="0" w:color="000000"/>
              <w:bottom w:val="single" w:sz="4" w:space="0" w:color="000000"/>
            </w:tcBorders>
          </w:tcPr>
          <w:p>
            <w:pPr>
              <w:pStyle w:val="Normal"/>
              <w:widowControl w:val="false"/>
              <w:pBdr/>
              <w:ind w:hanging="2"/>
              <w:jc w:val="both"/>
              <w:rPr>
                <w:rFonts w:ascii="Calibri" w:hAnsi="Calibri" w:eastAsia="Calibri" w:cs="Calibri"/>
                <w:i/>
                <w:i/>
                <w:color w:val="000000"/>
                <w:sz w:val="20"/>
                <w:szCs w:val="20"/>
              </w:rPr>
            </w:pPr>
            <w:r>
              <w:rPr>
                <w:rFonts w:eastAsia="Calibri" w:cs="Calibri" w:ascii="Calibri" w:hAnsi="Calibri"/>
                <w:i/>
                <w:color w:val="000000"/>
                <w:sz w:val="20"/>
                <w:szCs w:val="20"/>
              </w:rPr>
              <w:t>X</w:t>
            </w:r>
          </w:p>
        </w:tc>
        <w:tc>
          <w:tcPr>
            <w:tcW w:w="968" w:type="dxa"/>
            <w:tcBorders>
              <w:top w:val="single" w:sz="4" w:space="0" w:color="DBEEF3"/>
              <w:left w:val="single" w:sz="4" w:space="0" w:color="000000"/>
              <w:bottom w:val="single" w:sz="4" w:space="0" w:color="000000"/>
            </w:tcBorders>
          </w:tcPr>
          <w:p>
            <w:pPr>
              <w:pStyle w:val="Normal"/>
              <w:widowControl w:val="false"/>
              <w:pBdr/>
              <w:ind w:hanging="2"/>
              <w:jc w:val="both"/>
              <w:rPr>
                <w:rFonts w:ascii="Calibri" w:hAnsi="Calibri" w:eastAsia="Calibri" w:cs="Calibri"/>
                <w:i/>
                <w:i/>
                <w:color w:val="000000"/>
                <w:sz w:val="20"/>
                <w:szCs w:val="20"/>
              </w:rPr>
            </w:pPr>
            <w:r>
              <w:rPr>
                <w:rFonts w:eastAsia="Calibri" w:cs="Calibri" w:ascii="Calibri" w:hAnsi="Calibri"/>
                <w:i/>
                <w:color w:val="000000"/>
                <w:sz w:val="20"/>
                <w:szCs w:val="20"/>
              </w:rPr>
              <w:t>X</w:t>
            </w:r>
          </w:p>
        </w:tc>
        <w:tc>
          <w:tcPr>
            <w:tcW w:w="1132" w:type="dxa"/>
            <w:tcBorders>
              <w:top w:val="single" w:sz="4" w:space="0" w:color="DBEEF3"/>
              <w:left w:val="single" w:sz="4" w:space="0" w:color="000000"/>
              <w:bottom w:val="single" w:sz="4" w:space="0" w:color="000000"/>
            </w:tcBorders>
          </w:tcPr>
          <w:p>
            <w:pPr>
              <w:pStyle w:val="Normal"/>
              <w:widowControl w:val="false"/>
              <w:pBdr/>
              <w:ind w:hanging="2"/>
              <w:jc w:val="both"/>
              <w:rPr>
                <w:rFonts w:ascii="Calibri" w:hAnsi="Calibri" w:eastAsia="Calibri" w:cs="Calibri"/>
                <w:i/>
                <w:i/>
                <w:color w:val="000000"/>
                <w:sz w:val="20"/>
                <w:szCs w:val="20"/>
              </w:rPr>
            </w:pPr>
            <w:r>
              <w:rPr>
                <w:rFonts w:eastAsia="Calibri" w:cs="Calibri" w:ascii="Calibri" w:hAnsi="Calibri"/>
                <w:i/>
                <w:color w:val="000000"/>
                <w:sz w:val="20"/>
                <w:szCs w:val="20"/>
              </w:rPr>
            </w:r>
          </w:p>
        </w:tc>
        <w:tc>
          <w:tcPr>
            <w:tcW w:w="1134" w:type="dxa"/>
            <w:tcBorders>
              <w:top w:val="single" w:sz="4" w:space="0" w:color="DBEEF3"/>
              <w:left w:val="single" w:sz="4" w:space="0" w:color="000000"/>
              <w:bottom w:val="single" w:sz="4" w:space="0" w:color="000000"/>
            </w:tcBorders>
          </w:tcPr>
          <w:p>
            <w:pPr>
              <w:pStyle w:val="Normal"/>
              <w:widowControl w:val="false"/>
              <w:pBdr/>
              <w:ind w:hanging="2"/>
              <w:jc w:val="both"/>
              <w:rPr>
                <w:rFonts w:ascii="Calibri" w:hAnsi="Calibri" w:eastAsia="Calibri" w:cs="Calibri"/>
                <w:i/>
                <w:i/>
                <w:color w:val="000000"/>
                <w:sz w:val="20"/>
                <w:szCs w:val="20"/>
              </w:rPr>
            </w:pPr>
            <w:r>
              <w:rPr>
                <w:rFonts w:eastAsia="Calibri" w:cs="Calibri" w:ascii="Calibri" w:hAnsi="Calibri"/>
                <w:i/>
                <w:color w:val="000000"/>
                <w:sz w:val="20"/>
                <w:szCs w:val="20"/>
              </w:rPr>
            </w:r>
          </w:p>
        </w:tc>
        <w:tc>
          <w:tcPr>
            <w:tcW w:w="1083" w:type="dxa"/>
            <w:tcBorders>
              <w:top w:val="single" w:sz="4" w:space="0" w:color="DBEEF3"/>
              <w:left w:val="single" w:sz="4" w:space="0" w:color="000000"/>
              <w:bottom w:val="single" w:sz="4" w:space="0" w:color="000000"/>
            </w:tcBorders>
          </w:tcPr>
          <w:p>
            <w:pPr>
              <w:pStyle w:val="Normal"/>
              <w:widowControl w:val="false"/>
              <w:pBdr/>
              <w:ind w:hanging="2"/>
              <w:jc w:val="both"/>
              <w:rPr>
                <w:rFonts w:ascii="Calibri" w:hAnsi="Calibri" w:eastAsia="Calibri" w:cs="Calibri"/>
                <w:i/>
                <w:i/>
                <w:color w:val="000000"/>
                <w:sz w:val="20"/>
                <w:szCs w:val="20"/>
              </w:rPr>
            </w:pPr>
            <w:r>
              <w:rPr>
                <w:rFonts w:eastAsia="Calibri" w:cs="Calibri" w:ascii="Calibri" w:hAnsi="Calibri"/>
                <w:i/>
                <w:color w:val="000000"/>
                <w:sz w:val="20"/>
                <w:szCs w:val="20"/>
              </w:rPr>
            </w:r>
          </w:p>
        </w:tc>
        <w:tc>
          <w:tcPr>
            <w:tcW w:w="1187" w:type="dxa"/>
            <w:tcBorders>
              <w:top w:val="single" w:sz="4" w:space="0" w:color="DBEEF3"/>
              <w:left w:val="single" w:sz="4" w:space="0" w:color="000000"/>
              <w:bottom w:val="single" w:sz="4" w:space="0" w:color="000000"/>
              <w:right w:val="single" w:sz="4" w:space="0" w:color="000000"/>
            </w:tcBorders>
          </w:tcPr>
          <w:p>
            <w:pPr>
              <w:pStyle w:val="Normal"/>
              <w:widowControl w:val="false"/>
              <w:pBdr/>
              <w:ind w:hanging="2"/>
              <w:jc w:val="both"/>
              <w:rPr>
                <w:rFonts w:ascii="Calibri" w:hAnsi="Calibri" w:eastAsia="Calibri" w:cs="Calibri"/>
                <w:i/>
                <w:i/>
                <w:color w:val="000000"/>
                <w:sz w:val="20"/>
                <w:szCs w:val="20"/>
              </w:rPr>
            </w:pPr>
            <w:r>
              <w:rPr>
                <w:rFonts w:eastAsia="Calibri" w:cs="Calibri" w:ascii="Calibri" w:hAnsi="Calibri"/>
                <w:i/>
                <w:color w:val="000000"/>
                <w:sz w:val="20"/>
                <w:szCs w:val="20"/>
              </w:rPr>
            </w:r>
          </w:p>
        </w:tc>
      </w:tr>
      <w:tr>
        <w:trPr/>
        <w:tc>
          <w:tcPr>
            <w:tcW w:w="1816" w:type="dxa"/>
            <w:tcBorders>
              <w:left w:val="single" w:sz="4" w:space="0" w:color="000000"/>
              <w:bottom w:val="single" w:sz="4" w:space="0" w:color="000000"/>
            </w:tcBorders>
          </w:tcPr>
          <w:p>
            <w:pPr>
              <w:pStyle w:val="Normal"/>
              <w:widowControl w:val="false"/>
              <w:pBdr/>
              <w:ind w:hanging="2"/>
              <w:jc w:val="both"/>
              <w:rPr>
                <w:rFonts w:ascii="Calibri" w:hAnsi="Calibri" w:eastAsia="Calibri" w:cs="Calibri"/>
                <w:i/>
                <w:i/>
                <w:color w:val="000000"/>
                <w:sz w:val="20"/>
                <w:szCs w:val="20"/>
              </w:rPr>
            </w:pPr>
            <w:r>
              <w:rPr>
                <w:rFonts w:eastAsia="Calibri" w:cs="Calibri" w:ascii="Calibri" w:hAnsi="Calibri"/>
                <w:i/>
                <w:color w:val="000000"/>
                <w:sz w:val="20"/>
                <w:szCs w:val="20"/>
              </w:rPr>
              <w:t>b</w:t>
            </w:r>
          </w:p>
        </w:tc>
        <w:tc>
          <w:tcPr>
            <w:tcW w:w="1181" w:type="dxa"/>
            <w:tcBorders>
              <w:left w:val="single" w:sz="4" w:space="0" w:color="000000"/>
              <w:bottom w:val="single" w:sz="4" w:space="0" w:color="000000"/>
            </w:tcBorders>
          </w:tcPr>
          <w:p>
            <w:pPr>
              <w:pStyle w:val="Normal"/>
              <w:widowControl w:val="false"/>
              <w:pBdr/>
              <w:ind w:hanging="2"/>
              <w:jc w:val="both"/>
              <w:rPr>
                <w:rFonts w:ascii="Calibri" w:hAnsi="Calibri" w:eastAsia="Calibri" w:cs="Calibri"/>
                <w:i/>
                <w:i/>
                <w:color w:val="000000"/>
                <w:sz w:val="20"/>
                <w:szCs w:val="20"/>
              </w:rPr>
            </w:pPr>
            <w:r>
              <w:rPr>
                <w:rFonts w:eastAsia="Calibri" w:cs="Calibri" w:ascii="Calibri" w:hAnsi="Calibri"/>
                <w:i/>
                <w:color w:val="000000"/>
                <w:sz w:val="20"/>
                <w:szCs w:val="20"/>
              </w:rPr>
            </w:r>
          </w:p>
        </w:tc>
        <w:tc>
          <w:tcPr>
            <w:tcW w:w="1133" w:type="dxa"/>
            <w:tcBorders>
              <w:left w:val="single" w:sz="4" w:space="0" w:color="000000"/>
              <w:bottom w:val="single" w:sz="4" w:space="0" w:color="000000"/>
            </w:tcBorders>
          </w:tcPr>
          <w:p>
            <w:pPr>
              <w:pStyle w:val="Normal"/>
              <w:widowControl w:val="false"/>
              <w:pBdr/>
              <w:ind w:hanging="2"/>
              <w:jc w:val="both"/>
              <w:rPr>
                <w:rFonts w:ascii="Calibri" w:hAnsi="Calibri" w:eastAsia="Calibri" w:cs="Calibri"/>
                <w:i/>
                <w:i/>
                <w:color w:val="000000"/>
                <w:sz w:val="20"/>
                <w:szCs w:val="20"/>
              </w:rPr>
            </w:pPr>
            <w:r>
              <w:rPr>
                <w:rFonts w:eastAsia="Calibri" w:cs="Calibri" w:ascii="Calibri" w:hAnsi="Calibri"/>
                <w:i/>
                <w:color w:val="000000"/>
                <w:sz w:val="20"/>
                <w:szCs w:val="20"/>
              </w:rPr>
              <w:t>X</w:t>
            </w:r>
          </w:p>
        </w:tc>
        <w:tc>
          <w:tcPr>
            <w:tcW w:w="968" w:type="dxa"/>
            <w:tcBorders>
              <w:left w:val="single" w:sz="4" w:space="0" w:color="000000"/>
              <w:bottom w:val="single" w:sz="4" w:space="0" w:color="000000"/>
            </w:tcBorders>
          </w:tcPr>
          <w:p>
            <w:pPr>
              <w:pStyle w:val="Normal"/>
              <w:widowControl w:val="false"/>
              <w:pBdr/>
              <w:ind w:hanging="2"/>
              <w:jc w:val="both"/>
              <w:rPr>
                <w:rFonts w:ascii="Calibri" w:hAnsi="Calibri" w:eastAsia="Calibri" w:cs="Calibri"/>
                <w:i/>
                <w:i/>
                <w:color w:val="000000"/>
                <w:sz w:val="20"/>
                <w:szCs w:val="20"/>
              </w:rPr>
            </w:pPr>
            <w:r>
              <w:rPr>
                <w:rFonts w:eastAsia="Calibri" w:cs="Calibri" w:ascii="Calibri" w:hAnsi="Calibri"/>
                <w:i/>
                <w:color w:val="000000"/>
                <w:sz w:val="20"/>
                <w:szCs w:val="20"/>
              </w:rPr>
              <w:t>X</w:t>
            </w:r>
          </w:p>
        </w:tc>
        <w:tc>
          <w:tcPr>
            <w:tcW w:w="1132" w:type="dxa"/>
            <w:tcBorders>
              <w:left w:val="single" w:sz="4" w:space="0" w:color="000000"/>
              <w:bottom w:val="single" w:sz="4" w:space="0" w:color="000000"/>
            </w:tcBorders>
          </w:tcPr>
          <w:p>
            <w:pPr>
              <w:pStyle w:val="Normal"/>
              <w:widowControl w:val="false"/>
              <w:pBdr/>
              <w:ind w:hanging="2"/>
              <w:jc w:val="both"/>
              <w:rPr>
                <w:rFonts w:ascii="Calibri" w:hAnsi="Calibri" w:eastAsia="Calibri" w:cs="Calibri"/>
                <w:i/>
                <w:i/>
                <w:color w:val="000000"/>
                <w:sz w:val="20"/>
                <w:szCs w:val="20"/>
              </w:rPr>
            </w:pPr>
            <w:r>
              <w:rPr>
                <w:rFonts w:eastAsia="Calibri" w:cs="Calibri" w:ascii="Calibri" w:hAnsi="Calibri"/>
                <w:i/>
                <w:color w:val="000000"/>
                <w:sz w:val="20"/>
                <w:szCs w:val="20"/>
              </w:rPr>
            </w:r>
          </w:p>
        </w:tc>
        <w:tc>
          <w:tcPr>
            <w:tcW w:w="1134" w:type="dxa"/>
            <w:tcBorders>
              <w:left w:val="single" w:sz="4" w:space="0" w:color="000000"/>
              <w:bottom w:val="single" w:sz="4" w:space="0" w:color="000000"/>
            </w:tcBorders>
          </w:tcPr>
          <w:p>
            <w:pPr>
              <w:pStyle w:val="Normal"/>
              <w:widowControl w:val="false"/>
              <w:pBdr/>
              <w:ind w:hanging="2"/>
              <w:jc w:val="both"/>
              <w:rPr>
                <w:rFonts w:ascii="Calibri" w:hAnsi="Calibri" w:eastAsia="Calibri" w:cs="Calibri"/>
                <w:i/>
                <w:i/>
                <w:color w:val="000000"/>
                <w:sz w:val="20"/>
                <w:szCs w:val="20"/>
              </w:rPr>
            </w:pPr>
            <w:r>
              <w:rPr>
                <w:rFonts w:eastAsia="Calibri" w:cs="Calibri" w:ascii="Calibri" w:hAnsi="Calibri"/>
                <w:i/>
                <w:color w:val="000000"/>
                <w:sz w:val="20"/>
                <w:szCs w:val="20"/>
              </w:rPr>
            </w:r>
          </w:p>
        </w:tc>
        <w:tc>
          <w:tcPr>
            <w:tcW w:w="1083" w:type="dxa"/>
            <w:tcBorders>
              <w:left w:val="single" w:sz="4" w:space="0" w:color="000000"/>
              <w:bottom w:val="single" w:sz="4" w:space="0" w:color="000000"/>
            </w:tcBorders>
          </w:tcPr>
          <w:p>
            <w:pPr>
              <w:pStyle w:val="Normal"/>
              <w:widowControl w:val="false"/>
              <w:pBdr/>
              <w:ind w:hanging="2"/>
              <w:jc w:val="both"/>
              <w:rPr>
                <w:rFonts w:ascii="Calibri" w:hAnsi="Calibri" w:eastAsia="Calibri" w:cs="Calibri"/>
                <w:i/>
                <w:i/>
                <w:color w:val="000000"/>
                <w:sz w:val="20"/>
                <w:szCs w:val="20"/>
              </w:rPr>
            </w:pPr>
            <w:r>
              <w:rPr>
                <w:rFonts w:eastAsia="Calibri" w:cs="Calibri" w:ascii="Calibri" w:hAnsi="Calibri"/>
                <w:i/>
                <w:color w:val="000000"/>
                <w:sz w:val="20"/>
                <w:szCs w:val="20"/>
              </w:rPr>
            </w:r>
          </w:p>
        </w:tc>
        <w:tc>
          <w:tcPr>
            <w:tcW w:w="1187" w:type="dxa"/>
            <w:tcBorders>
              <w:left w:val="single" w:sz="4" w:space="0" w:color="000000"/>
              <w:bottom w:val="single" w:sz="4" w:space="0" w:color="000000"/>
              <w:right w:val="single" w:sz="4" w:space="0" w:color="000000"/>
            </w:tcBorders>
          </w:tcPr>
          <w:p>
            <w:pPr>
              <w:pStyle w:val="Normal"/>
              <w:widowControl w:val="false"/>
              <w:pBdr/>
              <w:ind w:hanging="2"/>
              <w:jc w:val="both"/>
              <w:rPr>
                <w:rFonts w:ascii="Calibri" w:hAnsi="Calibri" w:eastAsia="Calibri" w:cs="Calibri"/>
                <w:i/>
                <w:i/>
                <w:color w:val="000000"/>
                <w:sz w:val="20"/>
                <w:szCs w:val="20"/>
              </w:rPr>
            </w:pPr>
            <w:r>
              <w:rPr>
                <w:rFonts w:eastAsia="Calibri" w:cs="Calibri" w:ascii="Calibri" w:hAnsi="Calibri"/>
                <w:i/>
                <w:color w:val="000000"/>
                <w:sz w:val="20"/>
                <w:szCs w:val="20"/>
              </w:rPr>
            </w:r>
          </w:p>
        </w:tc>
      </w:tr>
      <w:tr>
        <w:trPr/>
        <w:tc>
          <w:tcPr>
            <w:tcW w:w="1816" w:type="dxa"/>
            <w:tcBorders>
              <w:left w:val="single" w:sz="4" w:space="0" w:color="000000"/>
              <w:bottom w:val="single" w:sz="4" w:space="0" w:color="000000"/>
            </w:tcBorders>
          </w:tcPr>
          <w:p>
            <w:pPr>
              <w:pStyle w:val="Normal"/>
              <w:widowControl w:val="false"/>
              <w:pBdr/>
              <w:ind w:hanging="2"/>
              <w:jc w:val="both"/>
              <w:rPr>
                <w:rFonts w:ascii="Calibri" w:hAnsi="Calibri" w:eastAsia="Calibri" w:cs="Calibri"/>
                <w:i/>
                <w:i/>
                <w:color w:val="000000"/>
                <w:sz w:val="20"/>
                <w:szCs w:val="20"/>
              </w:rPr>
            </w:pPr>
            <w:r>
              <w:rPr>
                <w:rFonts w:eastAsia="Calibri" w:cs="Calibri" w:ascii="Calibri" w:hAnsi="Calibri"/>
                <w:i/>
                <w:color w:val="000000"/>
                <w:sz w:val="20"/>
                <w:szCs w:val="20"/>
              </w:rPr>
              <w:t>c</w:t>
            </w:r>
          </w:p>
        </w:tc>
        <w:tc>
          <w:tcPr>
            <w:tcW w:w="1181" w:type="dxa"/>
            <w:tcBorders>
              <w:left w:val="single" w:sz="4" w:space="0" w:color="000000"/>
              <w:bottom w:val="single" w:sz="4" w:space="0" w:color="000000"/>
            </w:tcBorders>
          </w:tcPr>
          <w:p>
            <w:pPr>
              <w:pStyle w:val="Normal"/>
              <w:widowControl w:val="false"/>
              <w:pBdr/>
              <w:ind w:hanging="2"/>
              <w:jc w:val="both"/>
              <w:rPr>
                <w:rFonts w:ascii="Calibri" w:hAnsi="Calibri" w:eastAsia="Calibri" w:cs="Calibri"/>
                <w:i/>
                <w:i/>
                <w:color w:val="000000"/>
                <w:sz w:val="20"/>
                <w:szCs w:val="20"/>
              </w:rPr>
            </w:pPr>
            <w:r>
              <w:rPr>
                <w:rFonts w:eastAsia="Calibri" w:cs="Calibri" w:ascii="Calibri" w:hAnsi="Calibri"/>
                <w:i/>
                <w:color w:val="000000"/>
                <w:sz w:val="20"/>
                <w:szCs w:val="20"/>
              </w:rPr>
            </w:r>
          </w:p>
        </w:tc>
        <w:tc>
          <w:tcPr>
            <w:tcW w:w="1133" w:type="dxa"/>
            <w:tcBorders>
              <w:left w:val="single" w:sz="4" w:space="0" w:color="000000"/>
              <w:bottom w:val="single" w:sz="4" w:space="0" w:color="000000"/>
            </w:tcBorders>
          </w:tcPr>
          <w:p>
            <w:pPr>
              <w:pStyle w:val="Normal"/>
              <w:widowControl w:val="false"/>
              <w:pBdr/>
              <w:ind w:hanging="2"/>
              <w:jc w:val="both"/>
              <w:rPr>
                <w:rFonts w:ascii="Calibri" w:hAnsi="Calibri" w:eastAsia="Calibri" w:cs="Calibri"/>
                <w:i/>
                <w:i/>
                <w:color w:val="000000"/>
                <w:sz w:val="20"/>
                <w:szCs w:val="20"/>
              </w:rPr>
            </w:pPr>
            <w:r>
              <w:rPr>
                <w:rFonts w:eastAsia="Calibri" w:cs="Calibri" w:ascii="Calibri" w:hAnsi="Calibri"/>
                <w:i/>
                <w:color w:val="000000"/>
                <w:sz w:val="20"/>
                <w:szCs w:val="20"/>
              </w:rPr>
            </w:r>
          </w:p>
        </w:tc>
        <w:tc>
          <w:tcPr>
            <w:tcW w:w="968" w:type="dxa"/>
            <w:tcBorders>
              <w:left w:val="single" w:sz="4" w:space="0" w:color="000000"/>
              <w:bottom w:val="single" w:sz="4" w:space="0" w:color="000000"/>
            </w:tcBorders>
          </w:tcPr>
          <w:p>
            <w:pPr>
              <w:pStyle w:val="Normal"/>
              <w:widowControl w:val="false"/>
              <w:pBdr/>
              <w:ind w:hanging="2"/>
              <w:jc w:val="both"/>
              <w:rPr>
                <w:rFonts w:ascii="Calibri" w:hAnsi="Calibri" w:eastAsia="Calibri" w:cs="Calibri"/>
                <w:i/>
                <w:i/>
                <w:color w:val="000000"/>
                <w:sz w:val="20"/>
                <w:szCs w:val="20"/>
              </w:rPr>
            </w:pPr>
            <w:r>
              <w:rPr>
                <w:rFonts w:eastAsia="Calibri" w:cs="Calibri" w:ascii="Calibri" w:hAnsi="Calibri"/>
                <w:i/>
                <w:color w:val="000000"/>
                <w:sz w:val="20"/>
                <w:szCs w:val="20"/>
              </w:rPr>
            </w:r>
          </w:p>
        </w:tc>
        <w:tc>
          <w:tcPr>
            <w:tcW w:w="1132" w:type="dxa"/>
            <w:tcBorders>
              <w:left w:val="single" w:sz="4" w:space="0" w:color="000000"/>
              <w:bottom w:val="single" w:sz="4" w:space="0" w:color="000000"/>
            </w:tcBorders>
          </w:tcPr>
          <w:p>
            <w:pPr>
              <w:pStyle w:val="Normal"/>
              <w:widowControl w:val="false"/>
              <w:pBdr/>
              <w:ind w:hanging="2"/>
              <w:jc w:val="both"/>
              <w:rPr>
                <w:rFonts w:ascii="Calibri" w:hAnsi="Calibri" w:eastAsia="Calibri" w:cs="Calibri"/>
                <w:i/>
                <w:i/>
                <w:color w:val="000000"/>
                <w:sz w:val="20"/>
                <w:szCs w:val="20"/>
              </w:rPr>
            </w:pPr>
            <w:r>
              <w:rPr>
                <w:rFonts w:eastAsia="Calibri" w:cs="Calibri" w:ascii="Calibri" w:hAnsi="Calibri"/>
                <w:i/>
                <w:color w:val="000000"/>
                <w:sz w:val="20"/>
                <w:szCs w:val="20"/>
              </w:rPr>
            </w:r>
          </w:p>
        </w:tc>
        <w:tc>
          <w:tcPr>
            <w:tcW w:w="1134" w:type="dxa"/>
            <w:tcBorders>
              <w:left w:val="single" w:sz="4" w:space="0" w:color="000000"/>
              <w:bottom w:val="single" w:sz="4" w:space="0" w:color="000000"/>
            </w:tcBorders>
          </w:tcPr>
          <w:p>
            <w:pPr>
              <w:pStyle w:val="Normal"/>
              <w:widowControl w:val="false"/>
              <w:pBdr/>
              <w:ind w:hanging="2"/>
              <w:jc w:val="both"/>
              <w:rPr>
                <w:rFonts w:ascii="Calibri" w:hAnsi="Calibri" w:eastAsia="Calibri" w:cs="Calibri"/>
                <w:i/>
                <w:i/>
                <w:color w:val="000000"/>
                <w:sz w:val="20"/>
                <w:szCs w:val="20"/>
              </w:rPr>
            </w:pPr>
            <w:r>
              <w:rPr>
                <w:rFonts w:eastAsia="Calibri" w:cs="Calibri" w:ascii="Calibri" w:hAnsi="Calibri"/>
                <w:i/>
                <w:color w:val="000000"/>
                <w:sz w:val="20"/>
                <w:szCs w:val="20"/>
              </w:rPr>
            </w:r>
          </w:p>
        </w:tc>
        <w:tc>
          <w:tcPr>
            <w:tcW w:w="1083" w:type="dxa"/>
            <w:tcBorders>
              <w:left w:val="single" w:sz="4" w:space="0" w:color="000000"/>
              <w:bottom w:val="single" w:sz="4" w:space="0" w:color="000000"/>
            </w:tcBorders>
          </w:tcPr>
          <w:p>
            <w:pPr>
              <w:pStyle w:val="Normal"/>
              <w:widowControl w:val="false"/>
              <w:pBdr/>
              <w:ind w:hanging="2"/>
              <w:jc w:val="both"/>
              <w:rPr>
                <w:rFonts w:ascii="Calibri" w:hAnsi="Calibri" w:eastAsia="Calibri" w:cs="Calibri"/>
                <w:i/>
                <w:i/>
                <w:color w:val="000000"/>
                <w:sz w:val="20"/>
                <w:szCs w:val="20"/>
              </w:rPr>
            </w:pPr>
            <w:r>
              <w:rPr>
                <w:rFonts w:eastAsia="Calibri" w:cs="Calibri" w:ascii="Calibri" w:hAnsi="Calibri"/>
                <w:i/>
                <w:color w:val="000000"/>
                <w:sz w:val="20"/>
                <w:szCs w:val="20"/>
              </w:rPr>
            </w:r>
          </w:p>
        </w:tc>
        <w:tc>
          <w:tcPr>
            <w:tcW w:w="1187" w:type="dxa"/>
            <w:tcBorders>
              <w:left w:val="single" w:sz="4" w:space="0" w:color="000000"/>
              <w:bottom w:val="single" w:sz="4" w:space="0" w:color="000000"/>
              <w:right w:val="single" w:sz="4" w:space="0" w:color="000000"/>
            </w:tcBorders>
          </w:tcPr>
          <w:p>
            <w:pPr>
              <w:pStyle w:val="Normal"/>
              <w:widowControl w:val="false"/>
              <w:pBdr/>
              <w:ind w:hanging="2"/>
              <w:jc w:val="both"/>
              <w:rPr>
                <w:rFonts w:ascii="Calibri" w:hAnsi="Calibri" w:eastAsia="Calibri" w:cs="Calibri"/>
                <w:i/>
                <w:i/>
                <w:color w:val="000000"/>
                <w:sz w:val="20"/>
                <w:szCs w:val="20"/>
              </w:rPr>
            </w:pPr>
            <w:r>
              <w:rPr>
                <w:rFonts w:eastAsia="Calibri" w:cs="Calibri" w:ascii="Calibri" w:hAnsi="Calibri"/>
                <w:i/>
                <w:color w:val="000000"/>
                <w:sz w:val="20"/>
                <w:szCs w:val="20"/>
              </w:rPr>
            </w:r>
          </w:p>
        </w:tc>
      </w:tr>
      <w:tr>
        <w:trPr/>
        <w:tc>
          <w:tcPr>
            <w:tcW w:w="1816" w:type="dxa"/>
            <w:tcBorders>
              <w:left w:val="single" w:sz="4" w:space="0" w:color="000000"/>
              <w:bottom w:val="single" w:sz="4" w:space="0" w:color="000000"/>
            </w:tcBorders>
          </w:tcPr>
          <w:p>
            <w:pPr>
              <w:pStyle w:val="Normal"/>
              <w:widowControl w:val="false"/>
              <w:pBdr/>
              <w:ind w:hanging="2"/>
              <w:jc w:val="both"/>
              <w:rPr>
                <w:rFonts w:ascii="Calibri" w:hAnsi="Calibri" w:eastAsia="Calibri" w:cs="Calibri"/>
                <w:i/>
                <w:i/>
                <w:color w:val="000000"/>
                <w:sz w:val="20"/>
                <w:szCs w:val="20"/>
              </w:rPr>
            </w:pPr>
            <w:r>
              <w:rPr>
                <w:rFonts w:eastAsia="Calibri" w:cs="Calibri" w:ascii="Calibri" w:hAnsi="Calibri"/>
                <w:i/>
                <w:color w:val="000000"/>
                <w:sz w:val="20"/>
                <w:szCs w:val="20"/>
              </w:rPr>
              <w:t>d</w:t>
            </w:r>
          </w:p>
        </w:tc>
        <w:tc>
          <w:tcPr>
            <w:tcW w:w="1181" w:type="dxa"/>
            <w:tcBorders>
              <w:left w:val="single" w:sz="4" w:space="0" w:color="000000"/>
              <w:bottom w:val="single" w:sz="4" w:space="0" w:color="000000"/>
            </w:tcBorders>
          </w:tcPr>
          <w:p>
            <w:pPr>
              <w:pStyle w:val="Normal"/>
              <w:widowControl w:val="false"/>
              <w:pBdr/>
              <w:ind w:hanging="2"/>
              <w:jc w:val="both"/>
              <w:rPr>
                <w:rFonts w:ascii="Calibri" w:hAnsi="Calibri" w:eastAsia="Calibri" w:cs="Calibri"/>
                <w:i/>
                <w:i/>
                <w:color w:val="000000"/>
                <w:sz w:val="20"/>
                <w:szCs w:val="20"/>
              </w:rPr>
            </w:pPr>
            <w:r>
              <w:rPr>
                <w:rFonts w:eastAsia="Calibri" w:cs="Calibri" w:ascii="Calibri" w:hAnsi="Calibri"/>
                <w:i/>
                <w:color w:val="000000"/>
                <w:sz w:val="20"/>
                <w:szCs w:val="20"/>
              </w:rPr>
            </w:r>
          </w:p>
        </w:tc>
        <w:tc>
          <w:tcPr>
            <w:tcW w:w="1133" w:type="dxa"/>
            <w:tcBorders>
              <w:left w:val="single" w:sz="4" w:space="0" w:color="000000"/>
              <w:bottom w:val="single" w:sz="4" w:space="0" w:color="000000"/>
            </w:tcBorders>
          </w:tcPr>
          <w:p>
            <w:pPr>
              <w:pStyle w:val="Normal"/>
              <w:widowControl w:val="false"/>
              <w:pBdr/>
              <w:ind w:hanging="2"/>
              <w:jc w:val="both"/>
              <w:rPr>
                <w:rFonts w:ascii="Calibri" w:hAnsi="Calibri" w:eastAsia="Calibri" w:cs="Calibri"/>
                <w:i/>
                <w:i/>
                <w:color w:val="000000"/>
                <w:sz w:val="20"/>
                <w:szCs w:val="20"/>
              </w:rPr>
            </w:pPr>
            <w:r>
              <w:rPr>
                <w:rFonts w:eastAsia="Calibri" w:cs="Calibri" w:ascii="Calibri" w:hAnsi="Calibri"/>
                <w:i/>
                <w:color w:val="000000"/>
                <w:sz w:val="20"/>
                <w:szCs w:val="20"/>
              </w:rPr>
            </w:r>
          </w:p>
        </w:tc>
        <w:tc>
          <w:tcPr>
            <w:tcW w:w="968" w:type="dxa"/>
            <w:tcBorders>
              <w:left w:val="single" w:sz="4" w:space="0" w:color="000000"/>
              <w:bottom w:val="single" w:sz="4" w:space="0" w:color="000000"/>
            </w:tcBorders>
          </w:tcPr>
          <w:p>
            <w:pPr>
              <w:pStyle w:val="Normal"/>
              <w:widowControl w:val="false"/>
              <w:pBdr/>
              <w:ind w:hanging="2"/>
              <w:jc w:val="both"/>
              <w:rPr>
                <w:rFonts w:ascii="Calibri" w:hAnsi="Calibri" w:eastAsia="Calibri" w:cs="Calibri"/>
                <w:i/>
                <w:i/>
                <w:color w:val="000000"/>
                <w:sz w:val="20"/>
                <w:szCs w:val="20"/>
              </w:rPr>
            </w:pPr>
            <w:r>
              <w:rPr>
                <w:rFonts w:eastAsia="Calibri" w:cs="Calibri" w:ascii="Calibri" w:hAnsi="Calibri"/>
                <w:i/>
                <w:color w:val="000000"/>
                <w:sz w:val="20"/>
                <w:szCs w:val="20"/>
              </w:rPr>
              <w:t>X</w:t>
            </w:r>
          </w:p>
        </w:tc>
        <w:tc>
          <w:tcPr>
            <w:tcW w:w="1132" w:type="dxa"/>
            <w:tcBorders>
              <w:left w:val="single" w:sz="4" w:space="0" w:color="000000"/>
              <w:bottom w:val="single" w:sz="4" w:space="0" w:color="000000"/>
            </w:tcBorders>
          </w:tcPr>
          <w:p>
            <w:pPr>
              <w:pStyle w:val="Normal"/>
              <w:widowControl w:val="false"/>
              <w:pBdr/>
              <w:ind w:hanging="2"/>
              <w:jc w:val="both"/>
              <w:rPr>
                <w:rFonts w:ascii="Calibri" w:hAnsi="Calibri" w:eastAsia="Calibri" w:cs="Calibri"/>
                <w:i/>
                <w:i/>
                <w:color w:val="000000"/>
                <w:sz w:val="20"/>
                <w:szCs w:val="20"/>
              </w:rPr>
            </w:pPr>
            <w:r>
              <w:rPr>
                <w:rFonts w:eastAsia="Calibri" w:cs="Calibri" w:ascii="Calibri" w:hAnsi="Calibri"/>
                <w:i/>
                <w:color w:val="000000"/>
                <w:sz w:val="20"/>
                <w:szCs w:val="20"/>
              </w:rPr>
            </w:r>
          </w:p>
        </w:tc>
        <w:tc>
          <w:tcPr>
            <w:tcW w:w="1134" w:type="dxa"/>
            <w:tcBorders>
              <w:left w:val="single" w:sz="4" w:space="0" w:color="000000"/>
              <w:bottom w:val="single" w:sz="4" w:space="0" w:color="000000"/>
            </w:tcBorders>
          </w:tcPr>
          <w:p>
            <w:pPr>
              <w:pStyle w:val="Normal"/>
              <w:widowControl w:val="false"/>
              <w:pBdr/>
              <w:ind w:hanging="2"/>
              <w:jc w:val="both"/>
              <w:rPr>
                <w:rFonts w:ascii="Calibri" w:hAnsi="Calibri" w:eastAsia="Calibri" w:cs="Calibri"/>
                <w:i/>
                <w:i/>
                <w:color w:val="000000"/>
                <w:sz w:val="20"/>
                <w:szCs w:val="20"/>
              </w:rPr>
            </w:pPr>
            <w:r>
              <w:rPr>
                <w:rFonts w:eastAsia="Calibri" w:cs="Calibri" w:ascii="Calibri" w:hAnsi="Calibri"/>
                <w:i/>
                <w:color w:val="000000"/>
                <w:sz w:val="20"/>
                <w:szCs w:val="20"/>
              </w:rPr>
            </w:r>
          </w:p>
        </w:tc>
        <w:tc>
          <w:tcPr>
            <w:tcW w:w="1083" w:type="dxa"/>
            <w:tcBorders>
              <w:left w:val="single" w:sz="4" w:space="0" w:color="000000"/>
              <w:bottom w:val="single" w:sz="4" w:space="0" w:color="000000"/>
            </w:tcBorders>
          </w:tcPr>
          <w:p>
            <w:pPr>
              <w:pStyle w:val="Normal"/>
              <w:widowControl w:val="false"/>
              <w:pBdr/>
              <w:ind w:hanging="2"/>
              <w:jc w:val="both"/>
              <w:rPr>
                <w:rFonts w:ascii="Calibri" w:hAnsi="Calibri" w:eastAsia="Calibri" w:cs="Calibri"/>
                <w:i/>
                <w:i/>
                <w:color w:val="000000"/>
                <w:sz w:val="20"/>
                <w:szCs w:val="20"/>
              </w:rPr>
            </w:pPr>
            <w:r>
              <w:rPr>
                <w:rFonts w:eastAsia="Calibri" w:cs="Calibri" w:ascii="Calibri" w:hAnsi="Calibri"/>
                <w:i/>
                <w:color w:val="000000"/>
                <w:sz w:val="20"/>
                <w:szCs w:val="20"/>
              </w:rPr>
            </w:r>
          </w:p>
        </w:tc>
        <w:tc>
          <w:tcPr>
            <w:tcW w:w="1187" w:type="dxa"/>
            <w:tcBorders>
              <w:left w:val="single" w:sz="4" w:space="0" w:color="000000"/>
              <w:bottom w:val="single" w:sz="4" w:space="0" w:color="000000"/>
              <w:right w:val="single" w:sz="4" w:space="0" w:color="000000"/>
            </w:tcBorders>
          </w:tcPr>
          <w:p>
            <w:pPr>
              <w:pStyle w:val="Normal"/>
              <w:widowControl w:val="false"/>
              <w:pBdr/>
              <w:ind w:hanging="2"/>
              <w:jc w:val="both"/>
              <w:rPr>
                <w:rFonts w:ascii="Calibri" w:hAnsi="Calibri" w:eastAsia="Calibri" w:cs="Calibri"/>
                <w:i/>
                <w:i/>
                <w:color w:val="000000"/>
                <w:sz w:val="20"/>
                <w:szCs w:val="20"/>
              </w:rPr>
            </w:pPr>
            <w:r>
              <w:rPr>
                <w:rFonts w:eastAsia="Calibri" w:cs="Calibri" w:ascii="Calibri" w:hAnsi="Calibri"/>
                <w:i/>
                <w:color w:val="000000"/>
                <w:sz w:val="20"/>
                <w:szCs w:val="20"/>
              </w:rPr>
            </w:r>
          </w:p>
        </w:tc>
      </w:tr>
      <w:tr>
        <w:trPr/>
        <w:tc>
          <w:tcPr>
            <w:tcW w:w="1816" w:type="dxa"/>
            <w:tcBorders>
              <w:left w:val="single" w:sz="4" w:space="0" w:color="000000"/>
              <w:bottom w:val="single" w:sz="4" w:space="0" w:color="000000"/>
            </w:tcBorders>
          </w:tcPr>
          <w:p>
            <w:pPr>
              <w:pStyle w:val="Normal"/>
              <w:widowControl w:val="false"/>
              <w:pBdr/>
              <w:ind w:hanging="2"/>
              <w:jc w:val="both"/>
              <w:rPr>
                <w:rFonts w:ascii="Calibri" w:hAnsi="Calibri" w:eastAsia="Calibri" w:cs="Calibri"/>
                <w:i/>
                <w:i/>
                <w:color w:val="000000"/>
                <w:sz w:val="20"/>
                <w:szCs w:val="20"/>
              </w:rPr>
            </w:pPr>
            <w:r>
              <w:rPr>
                <w:rFonts w:eastAsia="Calibri" w:cs="Calibri" w:ascii="Calibri" w:hAnsi="Calibri"/>
                <w:i/>
                <w:color w:val="000000"/>
                <w:sz w:val="20"/>
                <w:szCs w:val="20"/>
              </w:rPr>
              <w:t>e</w:t>
            </w:r>
          </w:p>
        </w:tc>
        <w:tc>
          <w:tcPr>
            <w:tcW w:w="1181" w:type="dxa"/>
            <w:tcBorders>
              <w:left w:val="single" w:sz="4" w:space="0" w:color="000000"/>
              <w:bottom w:val="single" w:sz="4" w:space="0" w:color="000000"/>
            </w:tcBorders>
          </w:tcPr>
          <w:p>
            <w:pPr>
              <w:pStyle w:val="Normal"/>
              <w:widowControl w:val="false"/>
              <w:pBdr/>
              <w:ind w:hanging="2"/>
              <w:jc w:val="both"/>
              <w:rPr>
                <w:rFonts w:ascii="Calibri" w:hAnsi="Calibri" w:eastAsia="Calibri" w:cs="Calibri"/>
                <w:i/>
                <w:i/>
                <w:color w:val="000000"/>
                <w:sz w:val="20"/>
                <w:szCs w:val="20"/>
              </w:rPr>
            </w:pPr>
            <w:r>
              <w:rPr>
                <w:rFonts w:eastAsia="Calibri" w:cs="Calibri" w:ascii="Calibri" w:hAnsi="Calibri"/>
                <w:i/>
                <w:color w:val="000000"/>
                <w:sz w:val="20"/>
                <w:szCs w:val="20"/>
              </w:rPr>
              <w:t>X</w:t>
            </w:r>
          </w:p>
        </w:tc>
        <w:tc>
          <w:tcPr>
            <w:tcW w:w="1133" w:type="dxa"/>
            <w:tcBorders>
              <w:left w:val="single" w:sz="4" w:space="0" w:color="000000"/>
              <w:bottom w:val="single" w:sz="4" w:space="0" w:color="000000"/>
            </w:tcBorders>
          </w:tcPr>
          <w:p>
            <w:pPr>
              <w:pStyle w:val="Normal"/>
              <w:widowControl w:val="false"/>
              <w:pBdr/>
              <w:ind w:hanging="2"/>
              <w:jc w:val="both"/>
              <w:rPr>
                <w:rFonts w:ascii="Calibri" w:hAnsi="Calibri" w:eastAsia="Calibri" w:cs="Calibri"/>
                <w:i/>
                <w:i/>
                <w:color w:val="000000"/>
                <w:sz w:val="20"/>
                <w:szCs w:val="20"/>
              </w:rPr>
            </w:pPr>
            <w:r>
              <w:rPr>
                <w:rFonts w:eastAsia="Calibri" w:cs="Calibri" w:ascii="Calibri" w:hAnsi="Calibri"/>
                <w:i/>
                <w:color w:val="000000"/>
                <w:sz w:val="20"/>
                <w:szCs w:val="20"/>
              </w:rPr>
            </w:r>
          </w:p>
        </w:tc>
        <w:tc>
          <w:tcPr>
            <w:tcW w:w="968" w:type="dxa"/>
            <w:tcBorders>
              <w:left w:val="single" w:sz="4" w:space="0" w:color="000000"/>
              <w:bottom w:val="single" w:sz="4" w:space="0" w:color="000000"/>
            </w:tcBorders>
          </w:tcPr>
          <w:p>
            <w:pPr>
              <w:pStyle w:val="Normal"/>
              <w:widowControl w:val="false"/>
              <w:pBdr/>
              <w:ind w:hanging="2"/>
              <w:jc w:val="both"/>
              <w:rPr>
                <w:rFonts w:ascii="Calibri" w:hAnsi="Calibri" w:eastAsia="Calibri" w:cs="Calibri"/>
                <w:i/>
                <w:i/>
                <w:color w:val="000000"/>
                <w:sz w:val="20"/>
                <w:szCs w:val="20"/>
              </w:rPr>
            </w:pPr>
            <w:r>
              <w:rPr>
                <w:rFonts w:eastAsia="Calibri" w:cs="Calibri" w:ascii="Calibri" w:hAnsi="Calibri"/>
                <w:i/>
                <w:color w:val="000000"/>
                <w:sz w:val="20"/>
                <w:szCs w:val="20"/>
              </w:rPr>
            </w:r>
          </w:p>
        </w:tc>
        <w:tc>
          <w:tcPr>
            <w:tcW w:w="1132" w:type="dxa"/>
            <w:tcBorders>
              <w:left w:val="single" w:sz="4" w:space="0" w:color="000000"/>
              <w:bottom w:val="single" w:sz="4" w:space="0" w:color="000000"/>
            </w:tcBorders>
          </w:tcPr>
          <w:p>
            <w:pPr>
              <w:pStyle w:val="Normal"/>
              <w:widowControl w:val="false"/>
              <w:pBdr/>
              <w:ind w:hanging="2"/>
              <w:jc w:val="both"/>
              <w:rPr>
                <w:rFonts w:ascii="Calibri" w:hAnsi="Calibri" w:eastAsia="Calibri" w:cs="Calibri"/>
                <w:i/>
                <w:i/>
                <w:color w:val="000000"/>
                <w:sz w:val="20"/>
                <w:szCs w:val="20"/>
              </w:rPr>
            </w:pPr>
            <w:r>
              <w:rPr>
                <w:rFonts w:eastAsia="Calibri" w:cs="Calibri" w:ascii="Calibri" w:hAnsi="Calibri"/>
                <w:i/>
                <w:color w:val="000000"/>
                <w:sz w:val="20"/>
                <w:szCs w:val="20"/>
              </w:rPr>
            </w:r>
          </w:p>
        </w:tc>
        <w:tc>
          <w:tcPr>
            <w:tcW w:w="1134" w:type="dxa"/>
            <w:tcBorders>
              <w:left w:val="single" w:sz="4" w:space="0" w:color="000000"/>
              <w:bottom w:val="single" w:sz="4" w:space="0" w:color="000000"/>
            </w:tcBorders>
          </w:tcPr>
          <w:p>
            <w:pPr>
              <w:pStyle w:val="Normal"/>
              <w:widowControl w:val="false"/>
              <w:pBdr/>
              <w:ind w:hanging="2"/>
              <w:jc w:val="both"/>
              <w:rPr>
                <w:rFonts w:ascii="Calibri" w:hAnsi="Calibri" w:eastAsia="Calibri" w:cs="Calibri"/>
                <w:i/>
                <w:i/>
                <w:color w:val="000000"/>
                <w:sz w:val="20"/>
                <w:szCs w:val="20"/>
              </w:rPr>
            </w:pPr>
            <w:r>
              <w:rPr>
                <w:rFonts w:eastAsia="Calibri" w:cs="Calibri" w:ascii="Calibri" w:hAnsi="Calibri"/>
                <w:i/>
                <w:color w:val="000000"/>
                <w:sz w:val="20"/>
                <w:szCs w:val="20"/>
              </w:rPr>
              <w:t>X</w:t>
            </w:r>
          </w:p>
        </w:tc>
        <w:tc>
          <w:tcPr>
            <w:tcW w:w="1083" w:type="dxa"/>
            <w:tcBorders>
              <w:left w:val="single" w:sz="4" w:space="0" w:color="000000"/>
              <w:bottom w:val="single" w:sz="4" w:space="0" w:color="000000"/>
            </w:tcBorders>
          </w:tcPr>
          <w:p>
            <w:pPr>
              <w:pStyle w:val="Normal"/>
              <w:widowControl w:val="false"/>
              <w:pBdr/>
              <w:ind w:hanging="2"/>
              <w:jc w:val="both"/>
              <w:rPr>
                <w:rFonts w:ascii="Calibri" w:hAnsi="Calibri" w:eastAsia="Calibri" w:cs="Calibri"/>
                <w:i/>
                <w:i/>
                <w:color w:val="000000"/>
                <w:sz w:val="20"/>
                <w:szCs w:val="20"/>
              </w:rPr>
            </w:pPr>
            <w:r>
              <w:rPr>
                <w:rFonts w:eastAsia="Calibri" w:cs="Calibri" w:ascii="Calibri" w:hAnsi="Calibri"/>
                <w:i/>
                <w:color w:val="000000"/>
                <w:sz w:val="20"/>
                <w:szCs w:val="20"/>
              </w:rPr>
            </w:r>
          </w:p>
        </w:tc>
        <w:tc>
          <w:tcPr>
            <w:tcW w:w="1187" w:type="dxa"/>
            <w:tcBorders>
              <w:left w:val="single" w:sz="4" w:space="0" w:color="000000"/>
              <w:bottom w:val="single" w:sz="4" w:space="0" w:color="000000"/>
              <w:right w:val="single" w:sz="4" w:space="0" w:color="000000"/>
            </w:tcBorders>
          </w:tcPr>
          <w:p>
            <w:pPr>
              <w:pStyle w:val="Normal"/>
              <w:widowControl w:val="false"/>
              <w:pBdr/>
              <w:ind w:hanging="2"/>
              <w:jc w:val="both"/>
              <w:rPr>
                <w:rFonts w:ascii="Calibri" w:hAnsi="Calibri" w:eastAsia="Calibri" w:cs="Calibri"/>
                <w:i/>
                <w:i/>
                <w:color w:val="000000"/>
                <w:sz w:val="20"/>
                <w:szCs w:val="20"/>
              </w:rPr>
            </w:pPr>
            <w:r>
              <w:rPr>
                <w:rFonts w:eastAsia="Calibri" w:cs="Calibri" w:ascii="Calibri" w:hAnsi="Calibri"/>
                <w:i/>
                <w:color w:val="000000"/>
                <w:sz w:val="20"/>
                <w:szCs w:val="20"/>
              </w:rPr>
            </w:r>
          </w:p>
        </w:tc>
      </w:tr>
      <w:tr>
        <w:trPr/>
        <w:tc>
          <w:tcPr>
            <w:tcW w:w="1816" w:type="dxa"/>
            <w:tcBorders>
              <w:left w:val="single" w:sz="4" w:space="0" w:color="000000"/>
              <w:bottom w:val="single" w:sz="4" w:space="0" w:color="000000"/>
            </w:tcBorders>
          </w:tcPr>
          <w:p>
            <w:pPr>
              <w:pStyle w:val="Normal"/>
              <w:widowControl w:val="false"/>
              <w:pBdr/>
              <w:ind w:hanging="2"/>
              <w:jc w:val="both"/>
              <w:rPr>
                <w:rFonts w:ascii="Calibri" w:hAnsi="Calibri" w:eastAsia="Calibri" w:cs="Calibri"/>
                <w:i/>
                <w:i/>
                <w:color w:val="000000"/>
                <w:sz w:val="20"/>
                <w:szCs w:val="20"/>
              </w:rPr>
            </w:pPr>
            <w:r>
              <w:rPr>
                <w:rFonts w:eastAsia="Calibri" w:cs="Calibri" w:ascii="Calibri" w:hAnsi="Calibri"/>
                <w:i/>
                <w:color w:val="000000"/>
                <w:sz w:val="20"/>
                <w:szCs w:val="20"/>
              </w:rPr>
              <w:t>g</w:t>
            </w:r>
          </w:p>
        </w:tc>
        <w:tc>
          <w:tcPr>
            <w:tcW w:w="1181" w:type="dxa"/>
            <w:tcBorders>
              <w:left w:val="single" w:sz="4" w:space="0" w:color="000000"/>
              <w:bottom w:val="single" w:sz="4" w:space="0" w:color="000000"/>
            </w:tcBorders>
          </w:tcPr>
          <w:p>
            <w:pPr>
              <w:pStyle w:val="Normal"/>
              <w:widowControl w:val="false"/>
              <w:pBdr/>
              <w:ind w:hanging="2"/>
              <w:jc w:val="both"/>
              <w:rPr>
                <w:rFonts w:ascii="Calibri" w:hAnsi="Calibri" w:eastAsia="Calibri" w:cs="Calibri"/>
                <w:i/>
                <w:i/>
                <w:color w:val="000000"/>
                <w:sz w:val="20"/>
                <w:szCs w:val="20"/>
              </w:rPr>
            </w:pPr>
            <w:r>
              <w:rPr>
                <w:rFonts w:eastAsia="Calibri" w:cs="Calibri" w:ascii="Calibri" w:hAnsi="Calibri"/>
                <w:i/>
                <w:color w:val="000000"/>
                <w:sz w:val="20"/>
                <w:szCs w:val="20"/>
              </w:rPr>
            </w:r>
          </w:p>
        </w:tc>
        <w:tc>
          <w:tcPr>
            <w:tcW w:w="1133" w:type="dxa"/>
            <w:tcBorders>
              <w:left w:val="single" w:sz="4" w:space="0" w:color="000000"/>
              <w:bottom w:val="single" w:sz="4" w:space="0" w:color="000000"/>
            </w:tcBorders>
          </w:tcPr>
          <w:p>
            <w:pPr>
              <w:pStyle w:val="Normal"/>
              <w:widowControl w:val="false"/>
              <w:pBdr/>
              <w:ind w:hanging="2"/>
              <w:jc w:val="both"/>
              <w:rPr>
                <w:rFonts w:ascii="Calibri" w:hAnsi="Calibri" w:eastAsia="Calibri" w:cs="Calibri"/>
                <w:i/>
                <w:i/>
                <w:color w:val="000000"/>
                <w:sz w:val="20"/>
                <w:szCs w:val="20"/>
              </w:rPr>
            </w:pPr>
            <w:r>
              <w:rPr>
                <w:rFonts w:eastAsia="Calibri" w:cs="Calibri" w:ascii="Calibri" w:hAnsi="Calibri"/>
                <w:i/>
                <w:color w:val="000000"/>
                <w:sz w:val="20"/>
                <w:szCs w:val="20"/>
              </w:rPr>
            </w:r>
          </w:p>
        </w:tc>
        <w:tc>
          <w:tcPr>
            <w:tcW w:w="968" w:type="dxa"/>
            <w:tcBorders>
              <w:left w:val="single" w:sz="4" w:space="0" w:color="000000"/>
              <w:bottom w:val="single" w:sz="4" w:space="0" w:color="000000"/>
            </w:tcBorders>
          </w:tcPr>
          <w:p>
            <w:pPr>
              <w:pStyle w:val="Normal"/>
              <w:widowControl w:val="false"/>
              <w:pBdr/>
              <w:ind w:hanging="2"/>
              <w:jc w:val="both"/>
              <w:rPr>
                <w:rFonts w:ascii="Calibri" w:hAnsi="Calibri" w:eastAsia="Calibri" w:cs="Calibri"/>
                <w:i/>
                <w:i/>
                <w:color w:val="000000"/>
                <w:sz w:val="20"/>
                <w:szCs w:val="20"/>
              </w:rPr>
            </w:pPr>
            <w:r>
              <w:rPr>
                <w:rFonts w:eastAsia="Calibri" w:cs="Calibri" w:ascii="Calibri" w:hAnsi="Calibri"/>
                <w:i/>
                <w:color w:val="000000"/>
                <w:sz w:val="20"/>
                <w:szCs w:val="20"/>
              </w:rPr>
            </w:r>
          </w:p>
        </w:tc>
        <w:tc>
          <w:tcPr>
            <w:tcW w:w="1132" w:type="dxa"/>
            <w:tcBorders>
              <w:left w:val="single" w:sz="4" w:space="0" w:color="000000"/>
              <w:bottom w:val="single" w:sz="4" w:space="0" w:color="000000"/>
            </w:tcBorders>
          </w:tcPr>
          <w:p>
            <w:pPr>
              <w:pStyle w:val="Normal"/>
              <w:widowControl w:val="false"/>
              <w:pBdr/>
              <w:ind w:hanging="2"/>
              <w:jc w:val="both"/>
              <w:rPr>
                <w:rFonts w:ascii="Calibri" w:hAnsi="Calibri" w:eastAsia="Calibri" w:cs="Calibri"/>
                <w:i/>
                <w:i/>
                <w:color w:val="000000"/>
                <w:sz w:val="20"/>
                <w:szCs w:val="20"/>
              </w:rPr>
            </w:pPr>
            <w:r>
              <w:rPr>
                <w:rFonts w:eastAsia="Calibri" w:cs="Calibri" w:ascii="Calibri" w:hAnsi="Calibri"/>
                <w:i/>
                <w:color w:val="000000"/>
                <w:sz w:val="20"/>
                <w:szCs w:val="20"/>
              </w:rPr>
              <w:t>X</w:t>
            </w:r>
          </w:p>
        </w:tc>
        <w:tc>
          <w:tcPr>
            <w:tcW w:w="1134" w:type="dxa"/>
            <w:tcBorders>
              <w:left w:val="single" w:sz="4" w:space="0" w:color="000000"/>
              <w:bottom w:val="single" w:sz="4" w:space="0" w:color="000000"/>
            </w:tcBorders>
          </w:tcPr>
          <w:p>
            <w:pPr>
              <w:pStyle w:val="Normal"/>
              <w:widowControl w:val="false"/>
              <w:pBdr/>
              <w:ind w:hanging="2"/>
              <w:jc w:val="both"/>
              <w:rPr>
                <w:rFonts w:ascii="Calibri" w:hAnsi="Calibri" w:eastAsia="Calibri" w:cs="Calibri"/>
                <w:i/>
                <w:i/>
                <w:color w:val="000000"/>
                <w:sz w:val="20"/>
                <w:szCs w:val="20"/>
              </w:rPr>
            </w:pPr>
            <w:r>
              <w:rPr>
                <w:rFonts w:eastAsia="Calibri" w:cs="Calibri" w:ascii="Calibri" w:hAnsi="Calibri"/>
                <w:i/>
                <w:color w:val="000000"/>
                <w:sz w:val="20"/>
                <w:szCs w:val="20"/>
              </w:rPr>
            </w:r>
          </w:p>
        </w:tc>
        <w:tc>
          <w:tcPr>
            <w:tcW w:w="1083" w:type="dxa"/>
            <w:tcBorders>
              <w:left w:val="single" w:sz="4" w:space="0" w:color="000000"/>
              <w:bottom w:val="single" w:sz="4" w:space="0" w:color="000000"/>
            </w:tcBorders>
          </w:tcPr>
          <w:p>
            <w:pPr>
              <w:pStyle w:val="Normal"/>
              <w:widowControl w:val="false"/>
              <w:pBdr/>
              <w:ind w:hanging="2"/>
              <w:jc w:val="both"/>
              <w:rPr>
                <w:rFonts w:ascii="Calibri" w:hAnsi="Calibri" w:eastAsia="Calibri" w:cs="Calibri"/>
                <w:i/>
                <w:i/>
                <w:color w:val="000000"/>
                <w:sz w:val="20"/>
                <w:szCs w:val="20"/>
              </w:rPr>
            </w:pPr>
            <w:r>
              <w:rPr>
                <w:rFonts w:eastAsia="Calibri" w:cs="Calibri" w:ascii="Calibri" w:hAnsi="Calibri"/>
                <w:i/>
                <w:color w:val="000000"/>
                <w:sz w:val="20"/>
                <w:szCs w:val="20"/>
              </w:rPr>
            </w:r>
          </w:p>
        </w:tc>
        <w:tc>
          <w:tcPr>
            <w:tcW w:w="1187" w:type="dxa"/>
            <w:tcBorders>
              <w:left w:val="single" w:sz="4" w:space="0" w:color="000000"/>
              <w:bottom w:val="single" w:sz="4" w:space="0" w:color="000000"/>
              <w:right w:val="single" w:sz="4" w:space="0" w:color="000000"/>
            </w:tcBorders>
          </w:tcPr>
          <w:p>
            <w:pPr>
              <w:pStyle w:val="Normal"/>
              <w:widowControl w:val="false"/>
              <w:pBdr/>
              <w:ind w:hanging="2"/>
              <w:jc w:val="both"/>
              <w:rPr>
                <w:rFonts w:ascii="Calibri" w:hAnsi="Calibri" w:eastAsia="Calibri" w:cs="Calibri"/>
                <w:i/>
                <w:i/>
                <w:color w:val="000000"/>
                <w:sz w:val="20"/>
                <w:szCs w:val="20"/>
              </w:rPr>
            </w:pPr>
            <w:r>
              <w:rPr>
                <w:rFonts w:eastAsia="Calibri" w:cs="Calibri" w:ascii="Calibri" w:hAnsi="Calibri"/>
                <w:i/>
                <w:color w:val="000000"/>
                <w:sz w:val="20"/>
                <w:szCs w:val="20"/>
              </w:rPr>
            </w:r>
          </w:p>
        </w:tc>
      </w:tr>
      <w:tr>
        <w:trPr/>
        <w:tc>
          <w:tcPr>
            <w:tcW w:w="1816" w:type="dxa"/>
            <w:tcBorders>
              <w:left w:val="single" w:sz="4" w:space="0" w:color="000000"/>
              <w:bottom w:val="single" w:sz="4" w:space="0" w:color="000000"/>
            </w:tcBorders>
          </w:tcPr>
          <w:p>
            <w:pPr>
              <w:pStyle w:val="Normal"/>
              <w:widowControl w:val="false"/>
              <w:pBdr/>
              <w:ind w:hanging="2"/>
              <w:jc w:val="both"/>
              <w:rPr>
                <w:rFonts w:ascii="Calibri" w:hAnsi="Calibri" w:eastAsia="Calibri" w:cs="Calibri"/>
                <w:i/>
                <w:i/>
                <w:color w:val="000000"/>
                <w:sz w:val="20"/>
                <w:szCs w:val="20"/>
              </w:rPr>
            </w:pPr>
            <w:r>
              <w:rPr>
                <w:rFonts w:eastAsia="Calibri" w:cs="Calibri" w:ascii="Calibri" w:hAnsi="Calibri"/>
                <w:i/>
                <w:color w:val="000000"/>
                <w:sz w:val="20"/>
                <w:szCs w:val="20"/>
              </w:rPr>
              <w:t>n</w:t>
            </w:r>
          </w:p>
        </w:tc>
        <w:tc>
          <w:tcPr>
            <w:tcW w:w="1181" w:type="dxa"/>
            <w:tcBorders>
              <w:left w:val="single" w:sz="4" w:space="0" w:color="000000"/>
              <w:bottom w:val="single" w:sz="4" w:space="0" w:color="000000"/>
            </w:tcBorders>
          </w:tcPr>
          <w:p>
            <w:pPr>
              <w:pStyle w:val="Normal"/>
              <w:widowControl w:val="false"/>
              <w:pBdr/>
              <w:ind w:hanging="2"/>
              <w:jc w:val="both"/>
              <w:rPr>
                <w:rFonts w:ascii="Calibri" w:hAnsi="Calibri" w:eastAsia="Calibri" w:cs="Calibri"/>
                <w:i/>
                <w:i/>
                <w:color w:val="000000"/>
                <w:sz w:val="20"/>
                <w:szCs w:val="20"/>
              </w:rPr>
            </w:pPr>
            <w:r>
              <w:rPr>
                <w:rFonts w:eastAsia="Calibri" w:cs="Calibri" w:ascii="Calibri" w:hAnsi="Calibri"/>
                <w:i/>
                <w:color w:val="000000"/>
                <w:sz w:val="20"/>
                <w:szCs w:val="20"/>
              </w:rPr>
              <w:t>X</w:t>
            </w:r>
          </w:p>
        </w:tc>
        <w:tc>
          <w:tcPr>
            <w:tcW w:w="1133" w:type="dxa"/>
            <w:tcBorders>
              <w:left w:val="single" w:sz="4" w:space="0" w:color="000000"/>
              <w:bottom w:val="single" w:sz="4" w:space="0" w:color="000000"/>
            </w:tcBorders>
          </w:tcPr>
          <w:p>
            <w:pPr>
              <w:pStyle w:val="Normal"/>
              <w:widowControl w:val="false"/>
              <w:pBdr/>
              <w:ind w:hanging="2"/>
              <w:jc w:val="both"/>
              <w:rPr>
                <w:rFonts w:ascii="Calibri" w:hAnsi="Calibri" w:eastAsia="Calibri" w:cs="Calibri"/>
                <w:i/>
                <w:i/>
                <w:color w:val="000000"/>
                <w:sz w:val="20"/>
                <w:szCs w:val="20"/>
              </w:rPr>
            </w:pPr>
            <w:r>
              <w:rPr>
                <w:rFonts w:eastAsia="Calibri" w:cs="Calibri" w:ascii="Calibri" w:hAnsi="Calibri"/>
                <w:i/>
                <w:color w:val="000000"/>
                <w:sz w:val="20"/>
                <w:szCs w:val="20"/>
              </w:rPr>
            </w:r>
          </w:p>
        </w:tc>
        <w:tc>
          <w:tcPr>
            <w:tcW w:w="968" w:type="dxa"/>
            <w:tcBorders>
              <w:left w:val="single" w:sz="4" w:space="0" w:color="000000"/>
              <w:bottom w:val="single" w:sz="4" w:space="0" w:color="000000"/>
            </w:tcBorders>
          </w:tcPr>
          <w:p>
            <w:pPr>
              <w:pStyle w:val="Normal"/>
              <w:widowControl w:val="false"/>
              <w:pBdr/>
              <w:ind w:hanging="2"/>
              <w:jc w:val="both"/>
              <w:rPr>
                <w:rFonts w:ascii="Calibri" w:hAnsi="Calibri" w:eastAsia="Calibri" w:cs="Calibri"/>
                <w:i/>
                <w:i/>
                <w:color w:val="000000"/>
                <w:sz w:val="20"/>
                <w:szCs w:val="20"/>
              </w:rPr>
            </w:pPr>
            <w:r>
              <w:rPr>
                <w:rFonts w:eastAsia="Calibri" w:cs="Calibri" w:ascii="Calibri" w:hAnsi="Calibri"/>
                <w:i/>
                <w:color w:val="000000"/>
                <w:sz w:val="20"/>
                <w:szCs w:val="20"/>
              </w:rPr>
            </w:r>
          </w:p>
        </w:tc>
        <w:tc>
          <w:tcPr>
            <w:tcW w:w="1132" w:type="dxa"/>
            <w:tcBorders>
              <w:left w:val="single" w:sz="4" w:space="0" w:color="000000"/>
              <w:bottom w:val="single" w:sz="4" w:space="0" w:color="000000"/>
            </w:tcBorders>
          </w:tcPr>
          <w:p>
            <w:pPr>
              <w:pStyle w:val="Normal"/>
              <w:widowControl w:val="false"/>
              <w:pBdr/>
              <w:ind w:hanging="2"/>
              <w:jc w:val="both"/>
              <w:rPr>
                <w:rFonts w:ascii="Calibri" w:hAnsi="Calibri" w:eastAsia="Calibri" w:cs="Calibri"/>
                <w:i/>
                <w:i/>
                <w:color w:val="000000"/>
                <w:sz w:val="20"/>
                <w:szCs w:val="20"/>
              </w:rPr>
            </w:pPr>
            <w:r>
              <w:rPr>
                <w:rFonts w:eastAsia="Calibri" w:cs="Calibri" w:ascii="Calibri" w:hAnsi="Calibri"/>
                <w:i/>
                <w:color w:val="000000"/>
                <w:sz w:val="20"/>
                <w:szCs w:val="20"/>
              </w:rPr>
            </w:r>
          </w:p>
        </w:tc>
        <w:tc>
          <w:tcPr>
            <w:tcW w:w="1134" w:type="dxa"/>
            <w:tcBorders>
              <w:left w:val="single" w:sz="4" w:space="0" w:color="000000"/>
              <w:bottom w:val="single" w:sz="4" w:space="0" w:color="000000"/>
            </w:tcBorders>
          </w:tcPr>
          <w:p>
            <w:pPr>
              <w:pStyle w:val="Normal"/>
              <w:widowControl w:val="false"/>
              <w:pBdr/>
              <w:ind w:hanging="2"/>
              <w:jc w:val="both"/>
              <w:rPr>
                <w:rFonts w:ascii="Calibri" w:hAnsi="Calibri" w:eastAsia="Calibri" w:cs="Calibri"/>
                <w:i/>
                <w:i/>
                <w:color w:val="000000"/>
                <w:sz w:val="20"/>
                <w:szCs w:val="20"/>
              </w:rPr>
            </w:pPr>
            <w:r>
              <w:rPr>
                <w:rFonts w:eastAsia="Calibri" w:cs="Calibri" w:ascii="Calibri" w:hAnsi="Calibri"/>
                <w:i/>
                <w:color w:val="000000"/>
                <w:sz w:val="20"/>
                <w:szCs w:val="20"/>
              </w:rPr>
            </w:r>
          </w:p>
        </w:tc>
        <w:tc>
          <w:tcPr>
            <w:tcW w:w="1083" w:type="dxa"/>
            <w:tcBorders>
              <w:left w:val="single" w:sz="4" w:space="0" w:color="000000"/>
              <w:bottom w:val="single" w:sz="4" w:space="0" w:color="000000"/>
            </w:tcBorders>
          </w:tcPr>
          <w:p>
            <w:pPr>
              <w:pStyle w:val="Normal"/>
              <w:widowControl w:val="false"/>
              <w:pBdr/>
              <w:ind w:hanging="2"/>
              <w:jc w:val="both"/>
              <w:rPr>
                <w:rFonts w:ascii="Calibri" w:hAnsi="Calibri" w:eastAsia="Calibri" w:cs="Calibri"/>
                <w:i/>
                <w:i/>
                <w:color w:val="000000"/>
                <w:sz w:val="20"/>
                <w:szCs w:val="20"/>
              </w:rPr>
            </w:pPr>
            <w:r>
              <w:rPr>
                <w:rFonts w:eastAsia="Calibri" w:cs="Calibri" w:ascii="Calibri" w:hAnsi="Calibri"/>
                <w:i/>
                <w:color w:val="000000"/>
                <w:sz w:val="20"/>
                <w:szCs w:val="20"/>
              </w:rPr>
              <w:t>X</w:t>
            </w:r>
          </w:p>
        </w:tc>
        <w:tc>
          <w:tcPr>
            <w:tcW w:w="1187" w:type="dxa"/>
            <w:tcBorders>
              <w:left w:val="single" w:sz="4" w:space="0" w:color="000000"/>
              <w:bottom w:val="single" w:sz="4" w:space="0" w:color="000000"/>
              <w:right w:val="single" w:sz="4" w:space="0" w:color="000000"/>
            </w:tcBorders>
          </w:tcPr>
          <w:p>
            <w:pPr>
              <w:pStyle w:val="Normal"/>
              <w:widowControl w:val="false"/>
              <w:pBdr/>
              <w:ind w:hanging="2"/>
              <w:jc w:val="both"/>
              <w:rPr>
                <w:rFonts w:ascii="Calibri" w:hAnsi="Calibri" w:eastAsia="Calibri" w:cs="Calibri"/>
                <w:i/>
                <w:i/>
                <w:color w:val="000000"/>
                <w:sz w:val="20"/>
                <w:szCs w:val="20"/>
              </w:rPr>
            </w:pPr>
            <w:r>
              <w:rPr>
                <w:rFonts w:eastAsia="Calibri" w:cs="Calibri" w:ascii="Calibri" w:hAnsi="Calibri"/>
                <w:i/>
                <w:color w:val="000000"/>
                <w:sz w:val="20"/>
                <w:szCs w:val="20"/>
              </w:rPr>
              <w:t>X</w:t>
            </w:r>
          </w:p>
        </w:tc>
      </w:tr>
      <w:tr>
        <w:trPr/>
        <w:tc>
          <w:tcPr>
            <w:tcW w:w="1816" w:type="dxa"/>
            <w:tcBorders>
              <w:left w:val="single" w:sz="4" w:space="0" w:color="000000"/>
              <w:bottom w:val="single" w:sz="4" w:space="0" w:color="000000"/>
            </w:tcBorders>
          </w:tcPr>
          <w:p>
            <w:pPr>
              <w:pStyle w:val="Normal"/>
              <w:widowControl w:val="false"/>
              <w:pBdr/>
              <w:ind w:hanging="2"/>
              <w:jc w:val="both"/>
              <w:rPr>
                <w:rFonts w:ascii="Calibri" w:hAnsi="Calibri" w:eastAsia="Calibri" w:cs="Calibri"/>
                <w:i/>
                <w:i/>
                <w:color w:val="000000"/>
                <w:sz w:val="20"/>
                <w:szCs w:val="20"/>
              </w:rPr>
            </w:pPr>
            <w:r>
              <w:rPr>
                <w:rFonts w:eastAsia="Calibri" w:cs="Calibri" w:ascii="Calibri" w:hAnsi="Calibri"/>
                <w:i/>
                <w:color w:val="000000"/>
                <w:sz w:val="20"/>
                <w:szCs w:val="20"/>
              </w:rPr>
              <w:t>s</w:t>
            </w:r>
          </w:p>
        </w:tc>
        <w:tc>
          <w:tcPr>
            <w:tcW w:w="1181" w:type="dxa"/>
            <w:tcBorders>
              <w:left w:val="single" w:sz="4" w:space="0" w:color="000000"/>
              <w:bottom w:val="single" w:sz="4" w:space="0" w:color="000000"/>
            </w:tcBorders>
          </w:tcPr>
          <w:p>
            <w:pPr>
              <w:pStyle w:val="Normal"/>
              <w:widowControl w:val="false"/>
              <w:pBdr/>
              <w:ind w:hanging="2"/>
              <w:jc w:val="both"/>
              <w:rPr>
                <w:rFonts w:ascii="Calibri" w:hAnsi="Calibri" w:eastAsia="Calibri" w:cs="Calibri"/>
                <w:i/>
                <w:i/>
                <w:color w:val="000000"/>
                <w:sz w:val="20"/>
                <w:szCs w:val="20"/>
              </w:rPr>
            </w:pPr>
            <w:r>
              <w:rPr>
                <w:rFonts w:eastAsia="Calibri" w:cs="Calibri" w:ascii="Calibri" w:hAnsi="Calibri"/>
                <w:i/>
                <w:color w:val="000000"/>
                <w:sz w:val="20"/>
                <w:szCs w:val="20"/>
              </w:rPr>
            </w:r>
          </w:p>
        </w:tc>
        <w:tc>
          <w:tcPr>
            <w:tcW w:w="1133" w:type="dxa"/>
            <w:tcBorders>
              <w:left w:val="single" w:sz="4" w:space="0" w:color="000000"/>
              <w:bottom w:val="single" w:sz="4" w:space="0" w:color="000000"/>
            </w:tcBorders>
          </w:tcPr>
          <w:p>
            <w:pPr>
              <w:pStyle w:val="Normal"/>
              <w:widowControl w:val="false"/>
              <w:pBdr/>
              <w:ind w:hanging="2"/>
              <w:jc w:val="both"/>
              <w:rPr>
                <w:rFonts w:ascii="Calibri" w:hAnsi="Calibri" w:eastAsia="Calibri" w:cs="Calibri"/>
                <w:i/>
                <w:i/>
                <w:color w:val="000000"/>
                <w:sz w:val="20"/>
                <w:szCs w:val="20"/>
              </w:rPr>
            </w:pPr>
            <w:r>
              <w:rPr>
                <w:rFonts w:eastAsia="Calibri" w:cs="Calibri" w:ascii="Calibri" w:hAnsi="Calibri"/>
                <w:i/>
                <w:color w:val="000000"/>
                <w:sz w:val="20"/>
                <w:szCs w:val="20"/>
              </w:rPr>
              <w:t>X</w:t>
            </w:r>
          </w:p>
        </w:tc>
        <w:tc>
          <w:tcPr>
            <w:tcW w:w="968" w:type="dxa"/>
            <w:tcBorders>
              <w:left w:val="single" w:sz="4" w:space="0" w:color="000000"/>
              <w:bottom w:val="single" w:sz="4" w:space="0" w:color="000000"/>
            </w:tcBorders>
          </w:tcPr>
          <w:p>
            <w:pPr>
              <w:pStyle w:val="Normal"/>
              <w:widowControl w:val="false"/>
              <w:pBdr/>
              <w:ind w:hanging="2"/>
              <w:jc w:val="both"/>
              <w:rPr>
                <w:rFonts w:ascii="Calibri" w:hAnsi="Calibri" w:eastAsia="Calibri" w:cs="Calibri"/>
                <w:i/>
                <w:i/>
                <w:color w:val="000000"/>
                <w:sz w:val="20"/>
                <w:szCs w:val="20"/>
              </w:rPr>
            </w:pPr>
            <w:r>
              <w:rPr>
                <w:rFonts w:eastAsia="Calibri" w:cs="Calibri" w:ascii="Calibri" w:hAnsi="Calibri"/>
                <w:i/>
                <w:color w:val="000000"/>
                <w:sz w:val="20"/>
                <w:szCs w:val="20"/>
              </w:rPr>
              <w:t>X</w:t>
            </w:r>
          </w:p>
        </w:tc>
        <w:tc>
          <w:tcPr>
            <w:tcW w:w="1132" w:type="dxa"/>
            <w:tcBorders>
              <w:left w:val="single" w:sz="4" w:space="0" w:color="000000"/>
              <w:bottom w:val="single" w:sz="4" w:space="0" w:color="000000"/>
            </w:tcBorders>
          </w:tcPr>
          <w:p>
            <w:pPr>
              <w:pStyle w:val="Normal"/>
              <w:widowControl w:val="false"/>
              <w:pBdr/>
              <w:ind w:hanging="2"/>
              <w:jc w:val="both"/>
              <w:rPr>
                <w:rFonts w:ascii="Calibri" w:hAnsi="Calibri" w:eastAsia="Calibri" w:cs="Calibri"/>
                <w:i/>
                <w:i/>
                <w:color w:val="000000"/>
                <w:sz w:val="20"/>
                <w:szCs w:val="20"/>
              </w:rPr>
            </w:pPr>
            <w:r>
              <w:rPr>
                <w:rFonts w:eastAsia="Calibri" w:cs="Calibri" w:ascii="Calibri" w:hAnsi="Calibri"/>
                <w:i/>
                <w:color w:val="000000"/>
                <w:sz w:val="20"/>
                <w:szCs w:val="20"/>
              </w:rPr>
            </w:r>
          </w:p>
        </w:tc>
        <w:tc>
          <w:tcPr>
            <w:tcW w:w="1134" w:type="dxa"/>
            <w:tcBorders>
              <w:left w:val="single" w:sz="4" w:space="0" w:color="000000"/>
              <w:bottom w:val="single" w:sz="4" w:space="0" w:color="000000"/>
            </w:tcBorders>
          </w:tcPr>
          <w:p>
            <w:pPr>
              <w:pStyle w:val="Normal"/>
              <w:widowControl w:val="false"/>
              <w:pBdr/>
              <w:ind w:hanging="2"/>
              <w:jc w:val="both"/>
              <w:rPr>
                <w:rFonts w:ascii="Calibri" w:hAnsi="Calibri" w:eastAsia="Calibri" w:cs="Calibri"/>
                <w:i/>
                <w:i/>
                <w:color w:val="000000"/>
                <w:sz w:val="20"/>
                <w:szCs w:val="20"/>
              </w:rPr>
            </w:pPr>
            <w:r>
              <w:rPr>
                <w:rFonts w:eastAsia="Calibri" w:cs="Calibri" w:ascii="Calibri" w:hAnsi="Calibri"/>
                <w:i/>
                <w:color w:val="000000"/>
                <w:sz w:val="20"/>
                <w:szCs w:val="20"/>
              </w:rPr>
              <w:t>X</w:t>
            </w:r>
          </w:p>
        </w:tc>
        <w:tc>
          <w:tcPr>
            <w:tcW w:w="1083" w:type="dxa"/>
            <w:tcBorders>
              <w:left w:val="single" w:sz="4" w:space="0" w:color="000000"/>
              <w:bottom w:val="single" w:sz="4" w:space="0" w:color="000000"/>
            </w:tcBorders>
          </w:tcPr>
          <w:p>
            <w:pPr>
              <w:pStyle w:val="Normal"/>
              <w:widowControl w:val="false"/>
              <w:pBdr/>
              <w:ind w:hanging="2"/>
              <w:jc w:val="both"/>
              <w:rPr>
                <w:rFonts w:ascii="Calibri" w:hAnsi="Calibri" w:eastAsia="Calibri" w:cs="Calibri"/>
                <w:i/>
                <w:i/>
                <w:color w:val="000000"/>
                <w:sz w:val="20"/>
                <w:szCs w:val="20"/>
              </w:rPr>
            </w:pPr>
            <w:r>
              <w:rPr>
                <w:rFonts w:eastAsia="Calibri" w:cs="Calibri" w:ascii="Calibri" w:hAnsi="Calibri"/>
                <w:i/>
                <w:color w:val="000000"/>
                <w:sz w:val="20"/>
                <w:szCs w:val="20"/>
              </w:rPr>
            </w:r>
          </w:p>
        </w:tc>
        <w:tc>
          <w:tcPr>
            <w:tcW w:w="1187" w:type="dxa"/>
            <w:tcBorders>
              <w:left w:val="single" w:sz="4" w:space="0" w:color="000000"/>
              <w:bottom w:val="single" w:sz="4" w:space="0" w:color="000000"/>
              <w:right w:val="single" w:sz="4" w:space="0" w:color="000000"/>
            </w:tcBorders>
          </w:tcPr>
          <w:p>
            <w:pPr>
              <w:pStyle w:val="Normal"/>
              <w:widowControl w:val="false"/>
              <w:pBdr/>
              <w:ind w:hanging="2"/>
              <w:jc w:val="both"/>
              <w:rPr>
                <w:rFonts w:ascii="Calibri" w:hAnsi="Calibri" w:eastAsia="Calibri" w:cs="Calibri"/>
                <w:i/>
                <w:i/>
                <w:color w:val="000000"/>
                <w:sz w:val="20"/>
                <w:szCs w:val="20"/>
              </w:rPr>
            </w:pPr>
            <w:r>
              <w:rPr>
                <w:rFonts w:eastAsia="Calibri" w:cs="Calibri" w:ascii="Calibri" w:hAnsi="Calibri"/>
                <w:i/>
                <w:color w:val="000000"/>
                <w:sz w:val="20"/>
                <w:szCs w:val="20"/>
              </w:rPr>
            </w:r>
          </w:p>
        </w:tc>
      </w:tr>
    </w:tbl>
    <w:p>
      <w:pPr>
        <w:pStyle w:val="Normal"/>
        <w:ind w:hanging="2"/>
        <w:jc w:val="both"/>
        <w:rPr>
          <w:rFonts w:ascii="Times New Roman" w:hAnsi="Times New Roman" w:eastAsia="Times New Roman" w:cs="Times New Roman"/>
          <w:i/>
          <w:i/>
          <w:u w:val="single"/>
        </w:rPr>
      </w:pPr>
      <w:r>
        <w:rPr>
          <w:rFonts w:eastAsia="Times New Roman" w:cs="Times New Roman" w:ascii="Times New Roman" w:hAnsi="Times New Roman"/>
          <w:i/>
          <w:u w:val="single"/>
        </w:rPr>
      </w:r>
    </w:p>
    <w:p>
      <w:pPr>
        <w:pStyle w:val="Normal"/>
        <w:keepNext w:val="true"/>
        <w:pBdr/>
        <w:ind w:hanging="2"/>
        <w:jc w:val="both"/>
        <w:rPr>
          <w:i/>
          <w:i/>
          <w:color w:val="000000"/>
        </w:rPr>
      </w:pPr>
      <w:r>
        <w:rPr>
          <w:i/>
          <w:color w:val="000000"/>
        </w:rPr>
      </w:r>
    </w:p>
    <w:p>
      <w:pPr>
        <w:pStyle w:val="Normal"/>
        <w:keepNext w:val="true"/>
        <w:pBdr/>
        <w:ind w:hanging="2"/>
        <w:jc w:val="both"/>
        <w:rPr>
          <w:color w:val="000000"/>
        </w:rPr>
      </w:pPr>
      <w:r>
        <w:rPr>
          <w:i/>
          <w:color w:val="111111"/>
          <w:sz w:val="23"/>
          <w:szCs w:val="23"/>
          <w:shd w:fill="FFFFFF" w:val="clear"/>
        </w:rPr>
        <w:t>La siguiente planificación, de cada resultado de aprendizaje para alcanzar las competencias profesionales en el marco de la contextualización del currículo al entorno en el que se desarrolla el proceso de enseñanza-aprendizaje y asegurando la adquisición de dichas competencias, requiere la superación de la totalidad de los resultados de aprendizaje</w:t>
      </w:r>
      <w:r>
        <w:rPr>
          <w:color w:val="111111"/>
          <w:sz w:val="23"/>
          <w:szCs w:val="23"/>
          <w:shd w:fill="FFFFFF" w:val="clear"/>
        </w:rPr>
        <w:t xml:space="preserve"> ya que son imprescindibles.</w:t>
      </w:r>
    </w:p>
    <w:p>
      <w:pPr>
        <w:pStyle w:val="Normal"/>
        <w:pBdr/>
        <w:spacing w:before="0" w:after="120"/>
        <w:ind w:hanging="2"/>
        <w:jc w:val="both"/>
        <w:rPr>
          <w:rFonts w:ascii="Times New Roman" w:hAnsi="Times New Roman" w:eastAsia="Times New Roman" w:cs="Times New Roman"/>
          <w:color w:val="000000"/>
        </w:rPr>
      </w:pPr>
      <w:r>
        <w:rPr>
          <w:rFonts w:eastAsia="Times New Roman" w:cs="Times New Roman" w:ascii="Times New Roman" w:hAnsi="Times New Roman"/>
          <w:b/>
          <w:color w:val="000000"/>
        </w:rPr>
        <w:t>11.2. RELACIÓN DE UNIDADES DIDÁCTICAS.</w:t>
      </w:r>
    </w:p>
    <w:tbl>
      <w:tblPr>
        <w:tblStyle w:val="affffff5"/>
        <w:tblW w:w="9996" w:type="dxa"/>
        <w:jc w:val="left"/>
        <w:tblInd w:w="-247" w:type="dxa"/>
        <w:tblLayout w:type="fixed"/>
        <w:tblCellMar>
          <w:top w:w="0" w:type="dxa"/>
          <w:left w:w="108" w:type="dxa"/>
          <w:bottom w:w="0" w:type="dxa"/>
          <w:right w:w="108" w:type="dxa"/>
        </w:tblCellMar>
        <w:tblLook w:val="0000" w:noHBand="0" w:noVBand="0" w:firstColumn="0" w:lastRow="0" w:lastColumn="0" w:firstRow="0"/>
      </w:tblPr>
      <w:tblGrid>
        <w:gridCol w:w="674"/>
        <w:gridCol w:w="993"/>
        <w:gridCol w:w="5103"/>
        <w:gridCol w:w="992"/>
        <w:gridCol w:w="1560"/>
        <w:gridCol w:w="673"/>
      </w:tblGrid>
      <w:tr>
        <w:trPr>
          <w:trHeight w:val="812" w:hRule="atLeast"/>
        </w:trPr>
        <w:tc>
          <w:tcPr>
            <w:tcW w:w="674"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20"/>
              <w:ind w:hanging="2"/>
              <w:jc w:val="both"/>
              <w:rPr>
                <w:rFonts w:ascii="Times New Roman" w:hAnsi="Times New Roman" w:eastAsia="Times New Roman" w:cs="Times New Roman"/>
                <w:color w:val="000000"/>
              </w:rPr>
            </w:pPr>
            <w:r>
              <w:rPr>
                <w:rFonts w:eastAsia="Times New Roman" w:cs="Times New Roman" w:ascii="Times New Roman" w:hAnsi="Times New Roman"/>
                <w:b/>
                <w:color w:val="000000"/>
              </w:rPr>
              <w:t>R.A.</w:t>
            </w:r>
          </w:p>
        </w:tc>
        <w:tc>
          <w:tcPr>
            <w:tcW w:w="993"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20"/>
              <w:ind w:hanging="2"/>
              <w:jc w:val="both"/>
              <w:rPr>
                <w:rFonts w:ascii="Times New Roman" w:hAnsi="Times New Roman" w:eastAsia="Times New Roman" w:cs="Times New Roman"/>
                <w:color w:val="000000"/>
              </w:rPr>
            </w:pPr>
            <w:r>
              <w:rPr>
                <w:rFonts w:eastAsia="Times New Roman" w:cs="Times New Roman" w:ascii="Times New Roman" w:hAnsi="Times New Roman"/>
                <w:b/>
                <w:color w:val="000000"/>
              </w:rPr>
              <w:t>Unidad de</w:t>
            </w:r>
          </w:p>
          <w:p>
            <w:pPr>
              <w:pStyle w:val="Normal"/>
              <w:widowControl w:val="false"/>
              <w:spacing w:before="0" w:after="120"/>
              <w:ind w:hanging="2"/>
              <w:jc w:val="both"/>
              <w:rPr>
                <w:rFonts w:ascii="Times New Roman" w:hAnsi="Times New Roman" w:eastAsia="Times New Roman" w:cs="Times New Roman"/>
                <w:color w:val="000000"/>
                <w:sz w:val="22"/>
                <w:szCs w:val="22"/>
              </w:rPr>
            </w:pPr>
            <w:r>
              <w:rPr>
                <w:rFonts w:eastAsia="Times New Roman" w:cs="Times New Roman" w:ascii="Times New Roman" w:hAnsi="Times New Roman"/>
                <w:b/>
                <w:color w:val="000000"/>
                <w:sz w:val="22"/>
                <w:szCs w:val="22"/>
              </w:rPr>
              <w:t>Trabajo</w:t>
            </w:r>
          </w:p>
        </w:tc>
        <w:tc>
          <w:tcPr>
            <w:tcW w:w="5103"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20"/>
              <w:ind w:hanging="2"/>
              <w:rPr>
                <w:rFonts w:ascii="Times New Roman" w:hAnsi="Times New Roman" w:eastAsia="Times New Roman" w:cs="Times New Roman"/>
                <w:color w:val="000000"/>
              </w:rPr>
            </w:pPr>
            <w:r>
              <w:rPr>
                <w:rFonts w:eastAsia="Times New Roman" w:cs="Times New Roman" w:ascii="Times New Roman" w:hAnsi="Times New Roman"/>
                <w:b/>
                <w:color w:val="000000"/>
              </w:rPr>
              <w:t>Título</w:t>
            </w:r>
          </w:p>
        </w:tc>
        <w:tc>
          <w:tcPr>
            <w:tcW w:w="992"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20"/>
              <w:ind w:hanging="2"/>
              <w:jc w:val="both"/>
              <w:rPr>
                <w:rFonts w:ascii="Times New Roman" w:hAnsi="Times New Roman" w:eastAsia="Times New Roman" w:cs="Times New Roman"/>
                <w:color w:val="000000"/>
              </w:rPr>
            </w:pPr>
            <w:r>
              <w:rPr>
                <w:rFonts w:eastAsia="Times New Roman" w:cs="Times New Roman" w:ascii="Times New Roman" w:hAnsi="Times New Roman"/>
                <w:b/>
                <w:color w:val="000000"/>
              </w:rPr>
              <w:t>Temas</w:t>
            </w:r>
          </w:p>
        </w:tc>
        <w:tc>
          <w:tcPr>
            <w:tcW w:w="1560"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20"/>
              <w:ind w:hanging="2"/>
              <w:jc w:val="both"/>
              <w:rPr>
                <w:rFonts w:ascii="Times New Roman" w:hAnsi="Times New Roman" w:eastAsia="Times New Roman" w:cs="Times New Roman"/>
                <w:color w:val="000000"/>
              </w:rPr>
            </w:pPr>
            <w:r>
              <w:rPr>
                <w:rFonts w:eastAsia="Times New Roman" w:cs="Times New Roman" w:ascii="Times New Roman" w:hAnsi="Times New Roman"/>
                <w:b/>
                <w:color w:val="000000"/>
              </w:rPr>
              <w:t>Temporiza-ción</w:t>
            </w:r>
          </w:p>
          <w:p>
            <w:pPr>
              <w:pStyle w:val="Normal"/>
              <w:widowControl w:val="false"/>
              <w:spacing w:before="0" w:after="120"/>
              <w:ind w:hanging="2"/>
              <w:jc w:val="both"/>
              <w:rPr>
                <w:rFonts w:ascii="Times New Roman" w:hAnsi="Times New Roman" w:eastAsia="Times New Roman" w:cs="Times New Roman"/>
                <w:color w:val="000000"/>
              </w:rPr>
            </w:pPr>
            <w:r>
              <w:rPr>
                <w:rFonts w:eastAsia="Times New Roman" w:cs="Times New Roman" w:ascii="Times New Roman" w:hAnsi="Times New Roman"/>
                <w:b/>
                <w:color w:val="000000"/>
              </w:rPr>
              <w:t>en horas</w:t>
            </w:r>
          </w:p>
        </w:tc>
        <w:tc>
          <w:tcPr>
            <w:tcW w:w="673"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20"/>
              <w:ind w:hanging="2"/>
              <w:jc w:val="both"/>
              <w:rPr>
                <w:rFonts w:ascii="Times New Roman" w:hAnsi="Times New Roman" w:eastAsia="Times New Roman" w:cs="Times New Roman"/>
                <w:color w:val="000000"/>
              </w:rPr>
            </w:pPr>
            <w:r>
              <w:rPr>
                <w:rFonts w:eastAsia="Times New Roman" w:cs="Times New Roman" w:ascii="Times New Roman" w:hAnsi="Times New Roman"/>
                <w:b/>
                <w:color w:val="000000"/>
              </w:rPr>
              <w:t>Ev.</w:t>
            </w:r>
          </w:p>
        </w:tc>
      </w:tr>
      <w:tr>
        <w:trPr/>
        <w:tc>
          <w:tcPr>
            <w:tcW w:w="674"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20"/>
              <w:ind w:hanging="2"/>
              <w:jc w:val="both"/>
              <w:rPr>
                <w:rFonts w:ascii="Times New Roman" w:hAnsi="Times New Roman" w:eastAsia="Times New Roman" w:cs="Times New Roman"/>
                <w:b/>
                <w:b/>
                <w:color w:val="000000"/>
              </w:rPr>
            </w:pPr>
            <w:r>
              <w:rPr>
                <w:rFonts w:eastAsia="Times New Roman" w:cs="Times New Roman" w:ascii="Times New Roman" w:hAnsi="Times New Roman"/>
                <w:b/>
                <w:color w:val="000000"/>
              </w:rPr>
            </w:r>
          </w:p>
        </w:tc>
        <w:tc>
          <w:tcPr>
            <w:tcW w:w="993"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20"/>
              <w:ind w:hanging="2"/>
              <w:jc w:val="both"/>
              <w:rPr>
                <w:rFonts w:ascii="Times New Roman" w:hAnsi="Times New Roman" w:eastAsia="Times New Roman" w:cs="Times New Roman"/>
                <w:b/>
                <w:b/>
                <w:color w:val="000000"/>
              </w:rPr>
            </w:pPr>
            <w:r>
              <w:rPr>
                <w:rFonts w:eastAsia="Times New Roman" w:cs="Times New Roman" w:ascii="Times New Roman" w:hAnsi="Times New Roman"/>
                <w:b/>
                <w:color w:val="000000"/>
              </w:rPr>
            </w:r>
          </w:p>
        </w:tc>
        <w:tc>
          <w:tcPr>
            <w:tcW w:w="5103" w:type="dxa"/>
            <w:tcBorders>
              <w:top w:val="single" w:sz="4" w:space="0" w:color="000000"/>
              <w:left w:val="single" w:sz="4" w:space="0" w:color="000000"/>
              <w:bottom w:val="single" w:sz="4" w:space="0" w:color="000000"/>
              <w:right w:val="single" w:sz="4" w:space="0" w:color="000000"/>
            </w:tcBorders>
          </w:tcPr>
          <w:p>
            <w:pPr>
              <w:pStyle w:val="Normal"/>
              <w:widowControl w:val="false"/>
              <w:ind w:hanging="2"/>
              <w:jc w:val="center"/>
              <w:rPr/>
            </w:pPr>
            <w:r>
              <w:rPr/>
              <w:t>Jornada inicial  de presentación y evaluación inicial</w:t>
            </w:r>
          </w:p>
        </w:tc>
        <w:tc>
          <w:tcPr>
            <w:tcW w:w="992"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20"/>
              <w:ind w:hanging="2"/>
              <w:jc w:val="both"/>
              <w:rPr>
                <w:rFonts w:ascii="Times New Roman" w:hAnsi="Times New Roman" w:eastAsia="Times New Roman" w:cs="Times New Roman"/>
                <w:b/>
                <w:b/>
                <w:color w:val="000000"/>
              </w:rPr>
            </w:pPr>
            <w:r>
              <w:rPr>
                <w:rFonts w:eastAsia="Times New Roman" w:cs="Times New Roman" w:ascii="Times New Roman" w:hAnsi="Times New Roman"/>
                <w:b/>
                <w:color w:val="000000"/>
              </w:rPr>
            </w:r>
          </w:p>
        </w:tc>
        <w:tc>
          <w:tcPr>
            <w:tcW w:w="1560"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20"/>
              <w:ind w:hanging="2"/>
              <w:jc w:val="both"/>
              <w:rPr>
                <w:rFonts w:ascii="Times New Roman" w:hAnsi="Times New Roman" w:eastAsia="Times New Roman" w:cs="Times New Roman"/>
                <w:b/>
                <w:b/>
                <w:color w:val="000000"/>
              </w:rPr>
            </w:pPr>
            <w:r>
              <w:rPr>
                <w:rFonts w:eastAsia="Times New Roman" w:cs="Times New Roman" w:ascii="Times New Roman" w:hAnsi="Times New Roman"/>
                <w:b/>
                <w:color w:val="000000"/>
              </w:rPr>
              <w:t>4</w:t>
              <w:tab/>
              <w:t>4</w:t>
            </w:r>
          </w:p>
        </w:tc>
        <w:tc>
          <w:tcPr>
            <w:tcW w:w="673"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20"/>
              <w:ind w:hanging="2"/>
              <w:jc w:val="both"/>
              <w:rPr>
                <w:rFonts w:ascii="Times New Roman" w:hAnsi="Times New Roman" w:eastAsia="Times New Roman" w:cs="Times New Roman"/>
                <w:b/>
                <w:b/>
                <w:color w:val="000000"/>
              </w:rPr>
            </w:pPr>
            <w:r>
              <w:rPr>
                <w:rFonts w:eastAsia="Times New Roman" w:cs="Times New Roman" w:ascii="Times New Roman" w:hAnsi="Times New Roman"/>
                <w:b/>
                <w:color w:val="000000"/>
              </w:rPr>
              <w:t>1</w:t>
            </w:r>
          </w:p>
        </w:tc>
      </w:tr>
      <w:tr>
        <w:trPr/>
        <w:tc>
          <w:tcPr>
            <w:tcW w:w="674"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20"/>
              <w:ind w:hanging="2"/>
              <w:jc w:val="both"/>
              <w:rPr>
                <w:rFonts w:ascii="Times New Roman" w:hAnsi="Times New Roman" w:eastAsia="Times New Roman" w:cs="Times New Roman"/>
                <w:color w:val="000000"/>
              </w:rPr>
            </w:pPr>
            <w:r>
              <w:rPr>
                <w:rFonts w:eastAsia="Times New Roman" w:cs="Times New Roman" w:ascii="Times New Roman" w:hAnsi="Times New Roman"/>
                <w:b/>
                <w:color w:val="000000"/>
              </w:rPr>
              <w:t>2</w:t>
            </w:r>
          </w:p>
        </w:tc>
        <w:tc>
          <w:tcPr>
            <w:tcW w:w="993"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20"/>
              <w:ind w:hanging="2"/>
              <w:jc w:val="both"/>
              <w:rPr>
                <w:rFonts w:ascii="Times New Roman" w:hAnsi="Times New Roman" w:eastAsia="Times New Roman" w:cs="Times New Roman"/>
                <w:color w:val="000000"/>
              </w:rPr>
            </w:pPr>
            <w:r>
              <w:rPr>
                <w:rFonts w:eastAsia="Times New Roman" w:cs="Times New Roman" w:ascii="Times New Roman" w:hAnsi="Times New Roman"/>
                <w:b/>
                <w:color w:val="000000"/>
              </w:rPr>
              <w:t>1</w:t>
            </w:r>
          </w:p>
        </w:tc>
        <w:tc>
          <w:tcPr>
            <w:tcW w:w="5103" w:type="dxa"/>
            <w:tcBorders>
              <w:top w:val="single" w:sz="4" w:space="0" w:color="000000"/>
              <w:left w:val="single" w:sz="4" w:space="0" w:color="000000"/>
              <w:bottom w:val="single" w:sz="4" w:space="0" w:color="000000"/>
              <w:right w:val="single" w:sz="4" w:space="0" w:color="000000"/>
            </w:tcBorders>
          </w:tcPr>
          <w:p>
            <w:pPr>
              <w:pStyle w:val="Normal"/>
              <w:widowControl w:val="false"/>
              <w:ind w:hanging="2"/>
              <w:jc w:val="center"/>
              <w:rPr>
                <w:color w:val="000000"/>
              </w:rPr>
            </w:pPr>
            <w:r>
              <w:rPr/>
              <w:t>La comunicación presencial en la empresa. Comunicación telefónica y telemática.</w:t>
            </w:r>
          </w:p>
        </w:tc>
        <w:tc>
          <w:tcPr>
            <w:tcW w:w="992"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20"/>
              <w:ind w:hanging="2"/>
              <w:jc w:val="both"/>
              <w:rPr>
                <w:rFonts w:ascii="Times New Roman" w:hAnsi="Times New Roman" w:eastAsia="Times New Roman" w:cs="Times New Roman"/>
                <w:color w:val="000000"/>
              </w:rPr>
            </w:pPr>
            <w:r>
              <w:rPr>
                <w:rFonts w:eastAsia="Times New Roman" w:cs="Times New Roman" w:ascii="Times New Roman" w:hAnsi="Times New Roman"/>
                <w:b/>
                <w:color w:val="000000"/>
              </w:rPr>
              <w:t>T 2 y 3</w:t>
            </w:r>
          </w:p>
        </w:tc>
        <w:tc>
          <w:tcPr>
            <w:tcW w:w="1560"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20"/>
              <w:ind w:hanging="2"/>
              <w:jc w:val="both"/>
              <w:rPr>
                <w:rFonts w:ascii="Times New Roman" w:hAnsi="Times New Roman" w:eastAsia="Times New Roman" w:cs="Times New Roman"/>
                <w:color w:val="000000"/>
              </w:rPr>
            </w:pPr>
            <w:r>
              <w:rPr>
                <w:rFonts w:eastAsia="Times New Roman" w:cs="Times New Roman" w:ascii="Times New Roman" w:hAnsi="Times New Roman"/>
                <w:b/>
                <w:color w:val="000000"/>
              </w:rPr>
              <w:t>20</w:t>
              <w:tab/>
              <w:t>20</w:t>
            </w:r>
          </w:p>
          <w:p>
            <w:pPr>
              <w:pStyle w:val="Normal"/>
              <w:widowControl w:val="false"/>
              <w:spacing w:before="0" w:after="120"/>
              <w:ind w:hanging="2"/>
              <w:jc w:val="both"/>
              <w:rPr>
                <w:rFonts w:ascii="Times New Roman" w:hAnsi="Times New Roman" w:eastAsia="Times New Roman" w:cs="Times New Roman"/>
                <w:color w:val="000000"/>
              </w:rPr>
            </w:pPr>
            <w:r>
              <w:rPr>
                <w:rFonts w:eastAsia="Times New Roman" w:cs="Times New Roman" w:ascii="Times New Roman" w:hAnsi="Times New Roman"/>
                <w:b/>
                <w:color w:val="000000"/>
              </w:rPr>
              <w:t>3</w:t>
              <w:tab/>
              <w:t>3</w:t>
            </w:r>
          </w:p>
          <w:p>
            <w:pPr>
              <w:pStyle w:val="Normal"/>
              <w:widowControl w:val="false"/>
              <w:spacing w:before="0" w:after="120"/>
              <w:ind w:hanging="2"/>
              <w:jc w:val="both"/>
              <w:rPr>
                <w:rFonts w:ascii="Times New Roman" w:hAnsi="Times New Roman" w:eastAsia="Times New Roman" w:cs="Times New Roman"/>
                <w:color w:val="000000"/>
              </w:rPr>
            </w:pPr>
            <w:r>
              <w:rPr>
                <w:rFonts w:eastAsia="Times New Roman" w:cs="Times New Roman" w:ascii="Times New Roman" w:hAnsi="Times New Roman"/>
                <w:b/>
                <w:color w:val="000000"/>
              </w:rPr>
              <w:tab/>
              <w:t>2</w:t>
              <w:tab/>
              <w:t>2</w:t>
            </w:r>
          </w:p>
          <w:p>
            <w:pPr>
              <w:pStyle w:val="Normal"/>
              <w:widowControl w:val="false"/>
              <w:spacing w:before="0" w:after="120"/>
              <w:ind w:hanging="2"/>
              <w:jc w:val="both"/>
              <w:rPr>
                <w:rFonts w:ascii="Times New Roman" w:hAnsi="Times New Roman" w:eastAsia="Times New Roman" w:cs="Times New Roman"/>
                <w:color w:val="000000"/>
              </w:rPr>
            </w:pPr>
            <w:r>
              <w:rPr>
                <w:rFonts w:eastAsia="Times New Roman" w:cs="Times New Roman" w:ascii="Times New Roman" w:hAnsi="Times New Roman"/>
                <w:color w:val="000000"/>
              </w:rPr>
            </w:r>
          </w:p>
          <w:p>
            <w:pPr>
              <w:pStyle w:val="Normal"/>
              <w:widowControl w:val="false"/>
              <w:spacing w:before="0" w:after="120"/>
              <w:ind w:hanging="2"/>
              <w:jc w:val="both"/>
              <w:rPr>
                <w:rFonts w:ascii="Times New Roman" w:hAnsi="Times New Roman" w:eastAsia="Times New Roman" w:cs="Times New Roman"/>
                <w:color w:val="000000"/>
              </w:rPr>
            </w:pPr>
            <w:r>
              <w:rPr>
                <w:rFonts w:eastAsia="Times New Roman" w:cs="Times New Roman" w:ascii="Times New Roman" w:hAnsi="Times New Roman"/>
                <w:b/>
                <w:color w:val="000000"/>
              </w:rPr>
              <w:t>(Exposiciones  2ª y 3ª EV)</w:t>
            </w:r>
          </w:p>
        </w:tc>
        <w:tc>
          <w:tcPr>
            <w:tcW w:w="673"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20"/>
              <w:ind w:hanging="2"/>
              <w:jc w:val="both"/>
              <w:rPr>
                <w:rFonts w:ascii="Times New Roman" w:hAnsi="Times New Roman" w:eastAsia="Times New Roman" w:cs="Times New Roman"/>
                <w:color w:val="000000"/>
              </w:rPr>
            </w:pPr>
            <w:r>
              <w:rPr>
                <w:rFonts w:eastAsia="Times New Roman" w:cs="Times New Roman" w:ascii="Times New Roman" w:hAnsi="Times New Roman"/>
                <w:b/>
                <w:color w:val="000000"/>
              </w:rPr>
              <w:t>1</w:t>
            </w:r>
          </w:p>
          <w:p>
            <w:pPr>
              <w:pStyle w:val="Normal"/>
              <w:widowControl w:val="false"/>
              <w:spacing w:before="0" w:after="120"/>
              <w:ind w:hanging="2"/>
              <w:jc w:val="both"/>
              <w:rPr>
                <w:rFonts w:ascii="Times New Roman" w:hAnsi="Times New Roman" w:eastAsia="Times New Roman" w:cs="Times New Roman"/>
                <w:color w:val="000000"/>
              </w:rPr>
            </w:pPr>
            <w:r>
              <w:rPr>
                <w:rFonts w:eastAsia="Times New Roman" w:cs="Times New Roman" w:ascii="Times New Roman" w:hAnsi="Times New Roman"/>
                <w:b/>
                <w:color w:val="000000"/>
              </w:rPr>
              <w:t>2</w:t>
            </w:r>
          </w:p>
          <w:p>
            <w:pPr>
              <w:pStyle w:val="Normal"/>
              <w:widowControl w:val="false"/>
              <w:spacing w:before="0" w:after="120"/>
              <w:ind w:hanging="2"/>
              <w:jc w:val="both"/>
              <w:rPr>
                <w:rFonts w:ascii="Times New Roman" w:hAnsi="Times New Roman" w:eastAsia="Times New Roman" w:cs="Times New Roman"/>
                <w:color w:val="000000"/>
              </w:rPr>
            </w:pPr>
            <w:r>
              <w:rPr>
                <w:rFonts w:eastAsia="Times New Roman" w:cs="Times New Roman" w:ascii="Times New Roman" w:hAnsi="Times New Roman"/>
                <w:b/>
                <w:color w:val="000000"/>
              </w:rPr>
              <w:t>3</w:t>
            </w:r>
          </w:p>
        </w:tc>
      </w:tr>
      <w:tr>
        <w:trPr/>
        <w:tc>
          <w:tcPr>
            <w:tcW w:w="674"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20"/>
              <w:ind w:hanging="2"/>
              <w:jc w:val="both"/>
              <w:rPr>
                <w:rFonts w:ascii="Times New Roman" w:hAnsi="Times New Roman" w:eastAsia="Times New Roman" w:cs="Times New Roman"/>
                <w:color w:val="000000"/>
              </w:rPr>
            </w:pPr>
            <w:r>
              <w:rPr>
                <w:rFonts w:eastAsia="Times New Roman" w:cs="Times New Roman" w:ascii="Times New Roman" w:hAnsi="Times New Roman"/>
                <w:b/>
                <w:color w:val="000000"/>
              </w:rPr>
              <w:t>1</w:t>
            </w:r>
          </w:p>
        </w:tc>
        <w:tc>
          <w:tcPr>
            <w:tcW w:w="993"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20"/>
              <w:ind w:hanging="2"/>
              <w:jc w:val="both"/>
              <w:rPr>
                <w:rFonts w:ascii="Times New Roman" w:hAnsi="Times New Roman" w:eastAsia="Times New Roman" w:cs="Times New Roman"/>
                <w:color w:val="000000"/>
              </w:rPr>
            </w:pPr>
            <w:r>
              <w:rPr>
                <w:rFonts w:eastAsia="Times New Roman" w:cs="Times New Roman" w:ascii="Times New Roman" w:hAnsi="Times New Roman"/>
                <w:b/>
                <w:color w:val="000000"/>
              </w:rPr>
              <w:t>2</w:t>
            </w:r>
          </w:p>
        </w:tc>
        <w:tc>
          <w:tcPr>
            <w:tcW w:w="5103" w:type="dxa"/>
            <w:tcBorders>
              <w:top w:val="single" w:sz="4" w:space="0" w:color="000000"/>
              <w:left w:val="single" w:sz="4" w:space="0" w:color="000000"/>
              <w:bottom w:val="single" w:sz="4" w:space="0" w:color="000000"/>
              <w:right w:val="single" w:sz="4" w:space="0" w:color="000000"/>
            </w:tcBorders>
          </w:tcPr>
          <w:p>
            <w:pPr>
              <w:pStyle w:val="Normal"/>
              <w:widowControl w:val="false"/>
              <w:ind w:hanging="2"/>
              <w:jc w:val="center"/>
              <w:rPr>
                <w:color w:val="000000"/>
              </w:rPr>
            </w:pPr>
            <w:r>
              <w:rPr>
                <w:color w:val="000000"/>
              </w:rPr>
              <w:t>La organización en la empresa. Proceso de información y comunicación</w:t>
            </w:r>
          </w:p>
        </w:tc>
        <w:tc>
          <w:tcPr>
            <w:tcW w:w="992"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20"/>
              <w:ind w:hanging="2"/>
              <w:jc w:val="both"/>
              <w:rPr>
                <w:rFonts w:ascii="Times New Roman" w:hAnsi="Times New Roman" w:eastAsia="Times New Roman" w:cs="Times New Roman"/>
                <w:color w:val="000000"/>
              </w:rPr>
            </w:pPr>
            <w:r>
              <w:rPr>
                <w:rFonts w:eastAsia="Times New Roman" w:cs="Times New Roman" w:ascii="Times New Roman" w:hAnsi="Times New Roman"/>
                <w:b/>
                <w:color w:val="000000"/>
              </w:rPr>
              <w:t>T 1</w:t>
            </w:r>
          </w:p>
        </w:tc>
        <w:tc>
          <w:tcPr>
            <w:tcW w:w="1560"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20"/>
              <w:ind w:hanging="2"/>
              <w:jc w:val="both"/>
              <w:rPr>
                <w:rFonts w:ascii="Times New Roman" w:hAnsi="Times New Roman" w:eastAsia="Times New Roman" w:cs="Times New Roman"/>
                <w:color w:val="000000"/>
              </w:rPr>
            </w:pPr>
            <w:r>
              <w:rPr>
                <w:rFonts w:eastAsia="Times New Roman" w:cs="Times New Roman" w:ascii="Times New Roman" w:hAnsi="Times New Roman"/>
                <w:b/>
                <w:color w:val="000000"/>
              </w:rPr>
              <w:t>17</w:t>
              <w:tab/>
              <w:t>17</w:t>
            </w:r>
          </w:p>
        </w:tc>
        <w:tc>
          <w:tcPr>
            <w:tcW w:w="673"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20"/>
              <w:ind w:hanging="2"/>
              <w:jc w:val="both"/>
              <w:rPr>
                <w:rFonts w:ascii="Times New Roman" w:hAnsi="Times New Roman" w:eastAsia="Times New Roman" w:cs="Times New Roman"/>
                <w:color w:val="000000"/>
              </w:rPr>
            </w:pPr>
            <w:r>
              <w:rPr>
                <w:rFonts w:eastAsia="Times New Roman" w:cs="Times New Roman" w:ascii="Times New Roman" w:hAnsi="Times New Roman"/>
                <w:b/>
                <w:color w:val="000000"/>
              </w:rPr>
              <w:t>1</w:t>
            </w:r>
          </w:p>
        </w:tc>
      </w:tr>
      <w:tr>
        <w:trPr/>
        <w:tc>
          <w:tcPr>
            <w:tcW w:w="674"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20"/>
              <w:ind w:hanging="2"/>
              <w:jc w:val="both"/>
              <w:rPr>
                <w:rFonts w:ascii="Times New Roman" w:hAnsi="Times New Roman" w:eastAsia="Times New Roman" w:cs="Times New Roman"/>
                <w:color w:val="000000"/>
              </w:rPr>
            </w:pPr>
            <w:r>
              <w:rPr>
                <w:rFonts w:eastAsia="Times New Roman" w:cs="Times New Roman" w:ascii="Times New Roman" w:hAnsi="Times New Roman"/>
                <w:b/>
                <w:color w:val="000000"/>
              </w:rPr>
              <w:t>6</w:t>
            </w:r>
          </w:p>
        </w:tc>
        <w:tc>
          <w:tcPr>
            <w:tcW w:w="993"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20"/>
              <w:ind w:hanging="2"/>
              <w:jc w:val="both"/>
              <w:rPr>
                <w:rFonts w:ascii="Times New Roman" w:hAnsi="Times New Roman" w:eastAsia="Times New Roman" w:cs="Times New Roman"/>
                <w:color w:val="000000"/>
              </w:rPr>
            </w:pPr>
            <w:r>
              <w:rPr>
                <w:rFonts w:eastAsia="Times New Roman" w:cs="Times New Roman" w:ascii="Times New Roman" w:hAnsi="Times New Roman"/>
                <w:b/>
                <w:color w:val="000000"/>
              </w:rPr>
              <w:t>4</w:t>
            </w:r>
          </w:p>
        </w:tc>
        <w:tc>
          <w:tcPr>
            <w:tcW w:w="5103"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20"/>
              <w:ind w:hanging="0"/>
              <w:jc w:val="both"/>
              <w:rPr>
                <w:color w:val="000000"/>
              </w:rPr>
            </w:pPr>
            <w:r>
              <w:rPr>
                <w:color w:val="000000"/>
              </w:rPr>
            </w:r>
          </w:p>
          <w:p>
            <w:pPr>
              <w:pStyle w:val="Normal"/>
              <w:widowControl w:val="false"/>
              <w:spacing w:before="0" w:after="120"/>
              <w:ind w:hanging="2"/>
              <w:jc w:val="both"/>
              <w:rPr/>
            </w:pPr>
            <w:r>
              <w:rPr/>
              <w:t>Técnicas de comunicación en la atención al cliente</w:t>
            </w:r>
          </w:p>
          <w:p>
            <w:pPr>
              <w:pStyle w:val="Normal"/>
              <w:widowControl w:val="false"/>
              <w:spacing w:before="0" w:after="120"/>
              <w:ind w:hanging="2"/>
              <w:jc w:val="right"/>
              <w:rPr>
                <w:color w:val="000000"/>
              </w:rPr>
            </w:pPr>
            <w:r>
              <w:rPr/>
              <w:t>Dual 3ª ev.</w:t>
            </w:r>
          </w:p>
        </w:tc>
        <w:tc>
          <w:tcPr>
            <w:tcW w:w="992"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20"/>
              <w:ind w:hanging="2"/>
              <w:jc w:val="both"/>
              <w:rPr>
                <w:rFonts w:ascii="Times New Roman" w:hAnsi="Times New Roman" w:eastAsia="Times New Roman" w:cs="Times New Roman"/>
                <w:color w:val="000000"/>
              </w:rPr>
            </w:pPr>
            <w:r>
              <w:rPr>
                <w:rFonts w:eastAsia="Times New Roman" w:cs="Times New Roman" w:ascii="Times New Roman" w:hAnsi="Times New Roman"/>
                <w:b/>
                <w:color w:val="000000"/>
              </w:rPr>
              <w:t>T 6</w:t>
            </w:r>
          </w:p>
        </w:tc>
        <w:tc>
          <w:tcPr>
            <w:tcW w:w="1560"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20"/>
              <w:ind w:hanging="2"/>
              <w:jc w:val="both"/>
              <w:rPr>
                <w:rFonts w:ascii="Times New Roman" w:hAnsi="Times New Roman" w:eastAsia="Times New Roman" w:cs="Times New Roman"/>
                <w:b/>
                <w:b/>
              </w:rPr>
            </w:pPr>
            <w:r>
              <w:rPr>
                <w:rFonts w:eastAsia="Times New Roman" w:cs="Times New Roman" w:ascii="Times New Roman" w:hAnsi="Times New Roman"/>
                <w:b/>
                <w:color w:val="000000"/>
              </w:rPr>
              <w:t>9</w:t>
              <w:tab/>
            </w:r>
            <w:r>
              <w:rPr>
                <w:rFonts w:eastAsia="Times New Roman" w:cs="Times New Roman" w:ascii="Times New Roman" w:hAnsi="Times New Roman"/>
                <w:b/>
              </w:rPr>
              <w:t>9</w:t>
            </w:r>
          </w:p>
          <w:p>
            <w:pPr>
              <w:pStyle w:val="Normal"/>
              <w:widowControl w:val="false"/>
              <w:spacing w:before="0" w:after="120"/>
              <w:ind w:hanging="2"/>
              <w:jc w:val="both"/>
              <w:rPr>
                <w:rFonts w:ascii="Times New Roman" w:hAnsi="Times New Roman" w:eastAsia="Times New Roman" w:cs="Times New Roman"/>
                <w:b/>
                <w:b/>
              </w:rPr>
            </w:pPr>
            <w:r>
              <w:rPr>
                <w:rFonts w:eastAsia="Times New Roman" w:cs="Times New Roman" w:ascii="Times New Roman" w:hAnsi="Times New Roman"/>
                <w:b/>
              </w:rPr>
            </w:r>
          </w:p>
          <w:p>
            <w:pPr>
              <w:pStyle w:val="Normal"/>
              <w:widowControl w:val="false"/>
              <w:spacing w:before="0" w:after="120"/>
              <w:ind w:hanging="2"/>
              <w:jc w:val="both"/>
              <w:rPr>
                <w:rFonts w:ascii="Times New Roman" w:hAnsi="Times New Roman" w:eastAsia="Times New Roman" w:cs="Times New Roman"/>
                <w:b/>
                <w:b/>
              </w:rPr>
            </w:pPr>
            <w:r>
              <w:rPr>
                <w:rFonts w:eastAsia="Times New Roman" w:cs="Times New Roman" w:ascii="Times New Roman" w:hAnsi="Times New Roman"/>
                <w:b/>
              </w:rPr>
            </w:r>
          </w:p>
          <w:p>
            <w:pPr>
              <w:pStyle w:val="Normal"/>
              <w:widowControl w:val="false"/>
              <w:spacing w:before="0" w:after="120"/>
              <w:ind w:hanging="2"/>
              <w:jc w:val="both"/>
              <w:rPr>
                <w:rFonts w:ascii="Times New Roman" w:hAnsi="Times New Roman" w:eastAsia="Times New Roman" w:cs="Times New Roman"/>
                <w:color w:val="000000"/>
              </w:rPr>
            </w:pPr>
            <w:r>
              <w:rPr>
                <w:rFonts w:eastAsia="Times New Roman" w:cs="Times New Roman" w:ascii="Times New Roman" w:hAnsi="Times New Roman"/>
                <w:b/>
              </w:rPr>
              <w:t>8</w:t>
              <w:tab/>
              <w:t>8</w:t>
            </w:r>
          </w:p>
        </w:tc>
        <w:tc>
          <w:tcPr>
            <w:tcW w:w="673"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20"/>
              <w:ind w:hanging="2"/>
              <w:jc w:val="both"/>
              <w:rPr>
                <w:rFonts w:ascii="Times New Roman" w:hAnsi="Times New Roman" w:eastAsia="Times New Roman" w:cs="Times New Roman"/>
                <w:b/>
                <w:b/>
                <w:color w:val="000000"/>
              </w:rPr>
            </w:pPr>
            <w:r>
              <w:rPr>
                <w:rFonts w:eastAsia="Times New Roman" w:cs="Times New Roman" w:ascii="Times New Roman" w:hAnsi="Times New Roman"/>
                <w:b/>
                <w:color w:val="000000"/>
              </w:rPr>
              <w:t>1</w:t>
            </w:r>
          </w:p>
          <w:p>
            <w:pPr>
              <w:pStyle w:val="Normal"/>
              <w:widowControl w:val="false"/>
              <w:spacing w:before="0" w:after="120"/>
              <w:ind w:hanging="2"/>
              <w:jc w:val="both"/>
              <w:rPr>
                <w:rFonts w:ascii="Times New Roman" w:hAnsi="Times New Roman" w:eastAsia="Times New Roman" w:cs="Times New Roman"/>
                <w:b/>
                <w:b/>
                <w:color w:val="000000"/>
              </w:rPr>
            </w:pPr>
            <w:r>
              <w:rPr>
                <w:rFonts w:eastAsia="Times New Roman" w:cs="Times New Roman" w:ascii="Times New Roman" w:hAnsi="Times New Roman"/>
                <w:b/>
                <w:color w:val="000000"/>
              </w:rPr>
            </w:r>
          </w:p>
          <w:p>
            <w:pPr>
              <w:pStyle w:val="Normal"/>
              <w:widowControl w:val="false"/>
              <w:spacing w:before="0" w:after="120"/>
              <w:ind w:hanging="2"/>
              <w:jc w:val="both"/>
              <w:rPr>
                <w:rFonts w:ascii="Times New Roman" w:hAnsi="Times New Roman" w:eastAsia="Times New Roman" w:cs="Times New Roman"/>
                <w:b/>
                <w:b/>
                <w:color w:val="000000"/>
              </w:rPr>
            </w:pPr>
            <w:r>
              <w:rPr>
                <w:rFonts w:eastAsia="Times New Roman" w:cs="Times New Roman" w:ascii="Times New Roman" w:hAnsi="Times New Roman"/>
                <w:b/>
                <w:color w:val="000000"/>
              </w:rPr>
            </w:r>
          </w:p>
          <w:p>
            <w:pPr>
              <w:pStyle w:val="Normal"/>
              <w:widowControl w:val="false"/>
              <w:spacing w:before="0" w:after="120"/>
              <w:ind w:hanging="2"/>
              <w:jc w:val="both"/>
              <w:rPr>
                <w:rFonts w:ascii="Times New Roman" w:hAnsi="Times New Roman" w:eastAsia="Times New Roman" w:cs="Times New Roman"/>
                <w:color w:val="000000"/>
              </w:rPr>
            </w:pPr>
            <w:r>
              <w:rPr>
                <w:rFonts w:eastAsia="Times New Roman" w:cs="Times New Roman" w:ascii="Times New Roman" w:hAnsi="Times New Roman"/>
                <w:b/>
                <w:color w:val="000000"/>
              </w:rPr>
              <w:t>3</w:t>
            </w:r>
          </w:p>
        </w:tc>
      </w:tr>
      <w:tr>
        <w:trPr/>
        <w:tc>
          <w:tcPr>
            <w:tcW w:w="674"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20"/>
              <w:ind w:hanging="2"/>
              <w:jc w:val="both"/>
              <w:rPr>
                <w:rFonts w:ascii="Times New Roman" w:hAnsi="Times New Roman" w:eastAsia="Times New Roman" w:cs="Times New Roman"/>
                <w:color w:val="000000"/>
              </w:rPr>
            </w:pPr>
            <w:r>
              <w:rPr>
                <w:rFonts w:eastAsia="Times New Roman" w:cs="Times New Roman" w:ascii="Times New Roman" w:hAnsi="Times New Roman"/>
                <w:color w:val="000000"/>
              </w:rPr>
            </w:r>
          </w:p>
        </w:tc>
        <w:tc>
          <w:tcPr>
            <w:tcW w:w="993"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20"/>
              <w:ind w:hanging="2"/>
              <w:jc w:val="both"/>
              <w:rPr>
                <w:rFonts w:ascii="Times New Roman" w:hAnsi="Times New Roman" w:eastAsia="Times New Roman" w:cs="Times New Roman"/>
                <w:color w:val="000000"/>
              </w:rPr>
            </w:pPr>
            <w:r>
              <w:rPr>
                <w:rFonts w:eastAsia="Times New Roman" w:cs="Times New Roman" w:ascii="Times New Roman" w:hAnsi="Times New Roman"/>
                <w:color w:val="000000"/>
              </w:rPr>
            </w:r>
          </w:p>
        </w:tc>
        <w:tc>
          <w:tcPr>
            <w:tcW w:w="5103"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20"/>
              <w:ind w:hanging="2"/>
              <w:jc w:val="right"/>
              <w:rPr>
                <w:rFonts w:ascii="Times New Roman" w:hAnsi="Times New Roman" w:eastAsia="Times New Roman" w:cs="Times New Roman"/>
                <w:color w:val="000000"/>
              </w:rPr>
            </w:pPr>
            <w:r>
              <w:rPr>
                <w:rFonts w:eastAsia="Times New Roman" w:cs="Times New Roman" w:ascii="Times New Roman" w:hAnsi="Times New Roman"/>
                <w:b/>
                <w:color w:val="000000"/>
              </w:rPr>
              <w:t>HORAS Primera Evaluación 50 o 50</w:t>
            </w:r>
          </w:p>
        </w:tc>
        <w:tc>
          <w:tcPr>
            <w:tcW w:w="992"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20"/>
              <w:ind w:hanging="2"/>
              <w:jc w:val="both"/>
              <w:rPr>
                <w:rFonts w:ascii="Times New Roman" w:hAnsi="Times New Roman" w:eastAsia="Times New Roman" w:cs="Times New Roman"/>
                <w:color w:val="000000"/>
              </w:rPr>
            </w:pPr>
            <w:r>
              <w:rPr>
                <w:rFonts w:eastAsia="Times New Roman" w:cs="Times New Roman" w:ascii="Times New Roman" w:hAnsi="Times New Roman"/>
                <w:color w:val="000000"/>
              </w:rPr>
            </w:r>
          </w:p>
        </w:tc>
        <w:tc>
          <w:tcPr>
            <w:tcW w:w="1560"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20"/>
              <w:ind w:hanging="2"/>
              <w:jc w:val="both"/>
              <w:rPr>
                <w:rFonts w:ascii="Times New Roman" w:hAnsi="Times New Roman" w:eastAsia="Times New Roman" w:cs="Times New Roman"/>
                <w:color w:val="000000"/>
              </w:rPr>
            </w:pPr>
            <w:r>
              <w:rPr>
                <w:rFonts w:eastAsia="Times New Roman" w:cs="Times New Roman" w:ascii="Times New Roman" w:hAnsi="Times New Roman"/>
                <w:color w:val="000000"/>
              </w:rPr>
            </w:r>
          </w:p>
        </w:tc>
        <w:tc>
          <w:tcPr>
            <w:tcW w:w="673"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20"/>
              <w:ind w:hanging="2"/>
              <w:jc w:val="both"/>
              <w:rPr>
                <w:rFonts w:ascii="Times New Roman" w:hAnsi="Times New Roman" w:eastAsia="Times New Roman" w:cs="Times New Roman"/>
                <w:color w:val="000000"/>
              </w:rPr>
            </w:pPr>
            <w:r>
              <w:rPr>
                <w:rFonts w:eastAsia="Times New Roman" w:cs="Times New Roman" w:ascii="Times New Roman" w:hAnsi="Times New Roman"/>
                <w:color w:val="000000"/>
              </w:rPr>
            </w:r>
          </w:p>
        </w:tc>
      </w:tr>
      <w:tr>
        <w:trPr/>
        <w:tc>
          <w:tcPr>
            <w:tcW w:w="674"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20"/>
              <w:ind w:hanging="2"/>
              <w:jc w:val="both"/>
              <w:rPr>
                <w:rFonts w:ascii="Times New Roman" w:hAnsi="Times New Roman" w:eastAsia="Times New Roman" w:cs="Times New Roman"/>
                <w:color w:val="000000"/>
              </w:rPr>
            </w:pPr>
            <w:r>
              <w:rPr>
                <w:rFonts w:eastAsia="Times New Roman" w:cs="Times New Roman" w:ascii="Times New Roman" w:hAnsi="Times New Roman"/>
                <w:b/>
                <w:color w:val="000000"/>
              </w:rPr>
              <w:t>3</w:t>
            </w:r>
          </w:p>
        </w:tc>
        <w:tc>
          <w:tcPr>
            <w:tcW w:w="993"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20"/>
              <w:ind w:hanging="2"/>
              <w:jc w:val="both"/>
              <w:rPr>
                <w:rFonts w:ascii="Times New Roman" w:hAnsi="Times New Roman" w:eastAsia="Times New Roman" w:cs="Times New Roman"/>
                <w:color w:val="000000"/>
              </w:rPr>
            </w:pPr>
            <w:r>
              <w:rPr>
                <w:rFonts w:eastAsia="Times New Roman" w:cs="Times New Roman" w:ascii="Times New Roman" w:hAnsi="Times New Roman"/>
                <w:b/>
                <w:color w:val="000000"/>
              </w:rPr>
              <w:t>3</w:t>
            </w:r>
          </w:p>
        </w:tc>
        <w:tc>
          <w:tcPr>
            <w:tcW w:w="5103" w:type="dxa"/>
            <w:tcBorders>
              <w:top w:val="single" w:sz="4" w:space="0" w:color="000000"/>
              <w:left w:val="single" w:sz="4" w:space="0" w:color="000000"/>
              <w:bottom w:val="single" w:sz="4" w:space="0" w:color="000000"/>
              <w:right w:val="single" w:sz="4" w:space="0" w:color="000000"/>
            </w:tcBorders>
          </w:tcPr>
          <w:p>
            <w:pPr>
              <w:pStyle w:val="Normal"/>
              <w:widowControl w:val="false"/>
              <w:ind w:hanging="2"/>
              <w:rPr>
                <w:color w:val="000000"/>
              </w:rPr>
            </w:pPr>
            <w:r>
              <w:rPr/>
              <w:t>Documentos escritos al servicio de la documentación empresarial</w:t>
            </w:r>
          </w:p>
        </w:tc>
        <w:tc>
          <w:tcPr>
            <w:tcW w:w="992"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20"/>
              <w:ind w:hanging="2"/>
              <w:jc w:val="both"/>
              <w:rPr>
                <w:rFonts w:ascii="Times New Roman" w:hAnsi="Times New Roman" w:eastAsia="Times New Roman" w:cs="Times New Roman"/>
                <w:color w:val="000000"/>
              </w:rPr>
            </w:pPr>
            <w:r>
              <w:rPr>
                <w:rFonts w:eastAsia="Times New Roman" w:cs="Times New Roman" w:ascii="Times New Roman" w:hAnsi="Times New Roman"/>
                <w:b/>
                <w:color w:val="000000"/>
              </w:rPr>
              <w:t>T 4</w:t>
            </w:r>
          </w:p>
        </w:tc>
        <w:tc>
          <w:tcPr>
            <w:tcW w:w="1560"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20"/>
              <w:ind w:hanging="2"/>
              <w:jc w:val="both"/>
              <w:rPr>
                <w:rFonts w:ascii="Times New Roman" w:hAnsi="Times New Roman" w:eastAsia="Times New Roman" w:cs="Times New Roman"/>
                <w:color w:val="000000"/>
              </w:rPr>
            </w:pPr>
            <w:r>
              <w:rPr>
                <w:rFonts w:eastAsia="Times New Roman" w:cs="Times New Roman" w:ascii="Times New Roman" w:hAnsi="Times New Roman"/>
                <w:b/>
                <w:color w:val="000000"/>
              </w:rPr>
              <w:tab/>
              <w:t>28</w:t>
              <w:tab/>
              <w:t>28</w:t>
            </w:r>
          </w:p>
        </w:tc>
        <w:tc>
          <w:tcPr>
            <w:tcW w:w="673"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20"/>
              <w:ind w:hanging="2"/>
              <w:jc w:val="both"/>
              <w:rPr>
                <w:rFonts w:ascii="Times New Roman" w:hAnsi="Times New Roman" w:eastAsia="Times New Roman" w:cs="Times New Roman"/>
                <w:color w:val="000000"/>
              </w:rPr>
            </w:pPr>
            <w:r>
              <w:rPr>
                <w:rFonts w:eastAsia="Times New Roman" w:cs="Times New Roman" w:ascii="Times New Roman" w:hAnsi="Times New Roman"/>
                <w:b/>
                <w:color w:val="000000"/>
              </w:rPr>
              <w:t>2</w:t>
            </w:r>
          </w:p>
        </w:tc>
      </w:tr>
      <w:tr>
        <w:trPr>
          <w:trHeight w:val="650" w:hRule="atLeast"/>
        </w:trPr>
        <w:tc>
          <w:tcPr>
            <w:tcW w:w="674"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20"/>
              <w:ind w:hanging="2"/>
              <w:jc w:val="both"/>
              <w:rPr>
                <w:rFonts w:ascii="Times New Roman" w:hAnsi="Times New Roman" w:eastAsia="Times New Roman" w:cs="Times New Roman"/>
                <w:color w:val="000000"/>
              </w:rPr>
            </w:pPr>
            <w:r>
              <w:rPr>
                <w:rFonts w:eastAsia="Times New Roman" w:cs="Times New Roman" w:ascii="Times New Roman" w:hAnsi="Times New Roman"/>
                <w:b/>
                <w:color w:val="000000"/>
              </w:rPr>
              <w:t>6</w:t>
            </w:r>
          </w:p>
        </w:tc>
        <w:tc>
          <w:tcPr>
            <w:tcW w:w="993"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20"/>
              <w:ind w:hanging="2"/>
              <w:jc w:val="both"/>
              <w:rPr>
                <w:rFonts w:ascii="Times New Roman" w:hAnsi="Times New Roman" w:eastAsia="Times New Roman" w:cs="Times New Roman"/>
                <w:color w:val="000000"/>
              </w:rPr>
            </w:pPr>
            <w:r>
              <w:rPr>
                <w:rFonts w:eastAsia="Times New Roman" w:cs="Times New Roman" w:ascii="Times New Roman" w:hAnsi="Times New Roman"/>
                <w:color w:val="000000"/>
              </w:rPr>
              <w:t>5</w:t>
            </w:r>
          </w:p>
        </w:tc>
        <w:tc>
          <w:tcPr>
            <w:tcW w:w="5103"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20"/>
              <w:ind w:hanging="2"/>
              <w:jc w:val="both"/>
              <w:rPr>
                <w:color w:val="000000"/>
              </w:rPr>
            </w:pPr>
            <w:r>
              <w:rPr>
                <w:color w:val="000000"/>
              </w:rPr>
              <w:t>Gestión de consultas quejas y reclamaciones</w:t>
            </w:r>
          </w:p>
        </w:tc>
        <w:tc>
          <w:tcPr>
            <w:tcW w:w="992"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20"/>
              <w:ind w:hanging="2"/>
              <w:jc w:val="both"/>
              <w:rPr>
                <w:rFonts w:ascii="Times New Roman" w:hAnsi="Times New Roman" w:eastAsia="Times New Roman" w:cs="Times New Roman"/>
                <w:color w:val="000000"/>
              </w:rPr>
            </w:pPr>
            <w:r>
              <w:rPr>
                <w:rFonts w:eastAsia="Times New Roman" w:cs="Times New Roman" w:ascii="Times New Roman" w:hAnsi="Times New Roman"/>
                <w:b/>
                <w:color w:val="000000"/>
              </w:rPr>
              <w:t>T 7</w:t>
            </w:r>
          </w:p>
        </w:tc>
        <w:tc>
          <w:tcPr>
            <w:tcW w:w="1560"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20"/>
              <w:ind w:hanging="2"/>
              <w:jc w:val="both"/>
              <w:rPr>
                <w:rFonts w:ascii="Times New Roman" w:hAnsi="Times New Roman" w:eastAsia="Times New Roman" w:cs="Times New Roman"/>
                <w:color w:val="000000"/>
              </w:rPr>
            </w:pPr>
            <w:r>
              <w:rPr>
                <w:rFonts w:eastAsia="Times New Roman" w:cs="Times New Roman" w:ascii="Times New Roman" w:hAnsi="Times New Roman"/>
                <w:b/>
              </w:rPr>
              <w:t>12</w:t>
            </w:r>
            <w:r>
              <w:rPr>
                <w:rFonts w:eastAsia="Times New Roman" w:cs="Times New Roman" w:ascii="Times New Roman" w:hAnsi="Times New Roman"/>
                <w:b/>
                <w:color w:val="000000"/>
              </w:rPr>
              <w:tab/>
            </w:r>
            <w:r>
              <w:rPr>
                <w:rFonts w:eastAsia="Times New Roman" w:cs="Times New Roman" w:ascii="Times New Roman" w:hAnsi="Times New Roman"/>
                <w:b/>
              </w:rPr>
              <w:t>12</w:t>
            </w:r>
          </w:p>
        </w:tc>
        <w:tc>
          <w:tcPr>
            <w:tcW w:w="673"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20"/>
              <w:ind w:hanging="2"/>
              <w:jc w:val="both"/>
              <w:rPr>
                <w:rFonts w:ascii="Times New Roman" w:hAnsi="Times New Roman" w:eastAsia="Times New Roman" w:cs="Times New Roman"/>
              </w:rPr>
            </w:pPr>
            <w:r>
              <w:rPr>
                <w:rFonts w:eastAsia="Times New Roman" w:cs="Times New Roman" w:ascii="Times New Roman" w:hAnsi="Times New Roman"/>
                <w:b/>
                <w:color w:val="000000"/>
              </w:rPr>
              <w:t>2</w:t>
            </w:r>
          </w:p>
        </w:tc>
      </w:tr>
      <w:tr>
        <w:trPr/>
        <w:tc>
          <w:tcPr>
            <w:tcW w:w="674"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20"/>
              <w:ind w:hanging="2"/>
              <w:jc w:val="both"/>
              <w:rPr>
                <w:rFonts w:ascii="Times New Roman" w:hAnsi="Times New Roman" w:eastAsia="Times New Roman" w:cs="Times New Roman"/>
                <w:color w:val="000000"/>
              </w:rPr>
            </w:pPr>
            <w:r>
              <w:rPr>
                <w:rFonts w:eastAsia="Times New Roman" w:cs="Times New Roman" w:ascii="Times New Roman" w:hAnsi="Times New Roman"/>
                <w:color w:val="000000"/>
              </w:rPr>
            </w:r>
          </w:p>
        </w:tc>
        <w:tc>
          <w:tcPr>
            <w:tcW w:w="993"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20"/>
              <w:ind w:hanging="2"/>
              <w:jc w:val="both"/>
              <w:rPr>
                <w:rFonts w:ascii="Times New Roman" w:hAnsi="Times New Roman" w:eastAsia="Times New Roman" w:cs="Times New Roman"/>
                <w:color w:val="000000"/>
              </w:rPr>
            </w:pPr>
            <w:r>
              <w:rPr>
                <w:rFonts w:eastAsia="Times New Roman" w:cs="Times New Roman" w:ascii="Times New Roman" w:hAnsi="Times New Roman"/>
                <w:color w:val="000000"/>
              </w:rPr>
            </w:r>
          </w:p>
        </w:tc>
        <w:tc>
          <w:tcPr>
            <w:tcW w:w="5103"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20"/>
              <w:ind w:hanging="2"/>
              <w:jc w:val="both"/>
              <w:rPr/>
            </w:pPr>
            <w:r>
              <w:rPr/>
              <w:t>Técnicas de comunicación en la atención al cliente</w:t>
            </w:r>
          </w:p>
        </w:tc>
        <w:tc>
          <w:tcPr>
            <w:tcW w:w="992"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20"/>
              <w:ind w:hanging="2"/>
              <w:jc w:val="both"/>
              <w:rPr>
                <w:rFonts w:ascii="Times New Roman" w:hAnsi="Times New Roman" w:eastAsia="Times New Roman" w:cs="Times New Roman"/>
                <w:b/>
                <w:b/>
                <w:color w:val="000000"/>
              </w:rPr>
            </w:pPr>
            <w:r>
              <w:rPr>
                <w:rFonts w:eastAsia="Times New Roman" w:cs="Times New Roman" w:ascii="Times New Roman" w:hAnsi="Times New Roman"/>
                <w:b/>
                <w:color w:val="000000"/>
              </w:rPr>
            </w:r>
          </w:p>
        </w:tc>
        <w:tc>
          <w:tcPr>
            <w:tcW w:w="1560"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20"/>
              <w:ind w:hanging="2"/>
              <w:jc w:val="both"/>
              <w:rPr>
                <w:rFonts w:ascii="Times New Roman" w:hAnsi="Times New Roman" w:eastAsia="Times New Roman" w:cs="Times New Roman"/>
                <w:b/>
                <w:b/>
                <w:color w:val="000000"/>
              </w:rPr>
            </w:pPr>
            <w:r>
              <w:rPr>
                <w:rFonts w:eastAsia="Times New Roman" w:cs="Times New Roman" w:ascii="Times New Roman" w:hAnsi="Times New Roman"/>
                <w:b/>
                <w:color w:val="000000"/>
              </w:rPr>
              <w:t>2</w:t>
              <w:tab/>
              <w:t>2</w:t>
            </w:r>
          </w:p>
        </w:tc>
        <w:tc>
          <w:tcPr>
            <w:tcW w:w="673"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20"/>
              <w:ind w:hanging="2"/>
              <w:jc w:val="both"/>
              <w:rPr>
                <w:rFonts w:ascii="Times New Roman" w:hAnsi="Times New Roman" w:eastAsia="Times New Roman" w:cs="Times New Roman"/>
                <w:b/>
                <w:b/>
                <w:color w:val="000000"/>
              </w:rPr>
            </w:pPr>
            <w:r>
              <w:rPr>
                <w:rFonts w:eastAsia="Times New Roman" w:cs="Times New Roman" w:ascii="Times New Roman" w:hAnsi="Times New Roman"/>
                <w:b/>
                <w:color w:val="000000"/>
              </w:rPr>
              <w:t>2</w:t>
            </w:r>
          </w:p>
        </w:tc>
      </w:tr>
      <w:tr>
        <w:trPr/>
        <w:tc>
          <w:tcPr>
            <w:tcW w:w="674"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20"/>
              <w:ind w:hanging="2"/>
              <w:jc w:val="both"/>
              <w:rPr>
                <w:rFonts w:ascii="Times New Roman" w:hAnsi="Times New Roman" w:eastAsia="Times New Roman" w:cs="Times New Roman"/>
                <w:color w:val="000000"/>
              </w:rPr>
            </w:pPr>
            <w:r>
              <w:rPr>
                <w:rFonts w:eastAsia="Times New Roman" w:cs="Times New Roman" w:ascii="Times New Roman" w:hAnsi="Times New Roman"/>
                <w:color w:val="000000"/>
              </w:rPr>
              <w:t>4</w:t>
            </w:r>
          </w:p>
        </w:tc>
        <w:tc>
          <w:tcPr>
            <w:tcW w:w="993"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20"/>
              <w:ind w:hanging="2"/>
              <w:jc w:val="both"/>
              <w:rPr>
                <w:rFonts w:ascii="Times New Roman" w:hAnsi="Times New Roman" w:eastAsia="Times New Roman" w:cs="Times New Roman"/>
                <w:color w:val="000000"/>
              </w:rPr>
            </w:pPr>
            <w:r>
              <w:rPr>
                <w:rFonts w:eastAsia="Times New Roman" w:cs="Times New Roman" w:ascii="Times New Roman" w:hAnsi="Times New Roman"/>
                <w:color w:val="000000"/>
              </w:rPr>
              <w:t>7</w:t>
            </w:r>
          </w:p>
        </w:tc>
        <w:tc>
          <w:tcPr>
            <w:tcW w:w="5103"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20"/>
              <w:ind w:hanging="2"/>
              <w:jc w:val="both"/>
              <w:rPr>
                <w:color w:val="000000"/>
              </w:rPr>
            </w:pPr>
            <w:r>
              <w:rPr>
                <w:color w:val="000000"/>
              </w:rPr>
              <w:t>Archivo, registro y recuperación de la información CLASE 4b)</w:t>
            </w:r>
          </w:p>
        </w:tc>
        <w:tc>
          <w:tcPr>
            <w:tcW w:w="992"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20"/>
              <w:ind w:hanging="2"/>
              <w:jc w:val="both"/>
              <w:rPr>
                <w:rFonts w:ascii="Times New Roman" w:hAnsi="Times New Roman" w:eastAsia="Times New Roman" w:cs="Times New Roman"/>
                <w:b/>
                <w:b/>
                <w:color w:val="000000"/>
              </w:rPr>
            </w:pPr>
            <w:r>
              <w:rPr>
                <w:rFonts w:eastAsia="Times New Roman" w:cs="Times New Roman" w:ascii="Times New Roman" w:hAnsi="Times New Roman"/>
                <w:b/>
                <w:color w:val="000000"/>
              </w:rPr>
              <w:t>T5</w:t>
            </w:r>
          </w:p>
        </w:tc>
        <w:tc>
          <w:tcPr>
            <w:tcW w:w="1560"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20"/>
              <w:ind w:hanging="2"/>
              <w:jc w:val="both"/>
              <w:rPr>
                <w:rFonts w:ascii="Times New Roman" w:hAnsi="Times New Roman" w:eastAsia="Times New Roman" w:cs="Times New Roman"/>
                <w:b/>
                <w:b/>
                <w:color w:val="000000"/>
              </w:rPr>
            </w:pPr>
            <w:r>
              <w:rPr>
                <w:rFonts w:eastAsia="Times New Roman" w:cs="Times New Roman" w:ascii="Times New Roman" w:hAnsi="Times New Roman"/>
                <w:b/>
                <w:color w:val="000000"/>
              </w:rPr>
              <w:t>2</w:t>
              <w:tab/>
              <w:t>2</w:t>
            </w:r>
          </w:p>
        </w:tc>
        <w:tc>
          <w:tcPr>
            <w:tcW w:w="673"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20"/>
              <w:ind w:hanging="2"/>
              <w:jc w:val="both"/>
              <w:rPr>
                <w:rFonts w:ascii="Times New Roman" w:hAnsi="Times New Roman" w:eastAsia="Times New Roman" w:cs="Times New Roman"/>
                <w:b/>
                <w:b/>
                <w:color w:val="000000"/>
              </w:rPr>
            </w:pPr>
            <w:r>
              <w:rPr>
                <w:rFonts w:eastAsia="Times New Roman" w:cs="Times New Roman" w:ascii="Times New Roman" w:hAnsi="Times New Roman"/>
                <w:b/>
                <w:color w:val="000000"/>
              </w:rPr>
              <w:t>2</w:t>
            </w:r>
          </w:p>
        </w:tc>
      </w:tr>
      <w:tr>
        <w:trPr/>
        <w:tc>
          <w:tcPr>
            <w:tcW w:w="674"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20"/>
              <w:ind w:hanging="2"/>
              <w:jc w:val="both"/>
              <w:rPr>
                <w:rFonts w:ascii="Times New Roman" w:hAnsi="Times New Roman" w:eastAsia="Times New Roman" w:cs="Times New Roman"/>
                <w:color w:val="000000"/>
              </w:rPr>
            </w:pPr>
            <w:r>
              <w:rPr>
                <w:rFonts w:eastAsia="Times New Roman" w:cs="Times New Roman" w:ascii="Times New Roman" w:hAnsi="Times New Roman"/>
                <w:b/>
                <w:color w:val="000000"/>
              </w:rPr>
              <w:t>2</w:t>
            </w:r>
          </w:p>
        </w:tc>
        <w:tc>
          <w:tcPr>
            <w:tcW w:w="993"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20"/>
              <w:ind w:hanging="2"/>
              <w:jc w:val="both"/>
              <w:rPr>
                <w:rFonts w:ascii="Times New Roman" w:hAnsi="Times New Roman" w:eastAsia="Times New Roman" w:cs="Times New Roman"/>
                <w:color w:val="000000"/>
              </w:rPr>
            </w:pPr>
            <w:r>
              <w:rPr>
                <w:rFonts w:eastAsia="Times New Roman" w:cs="Times New Roman" w:ascii="Times New Roman" w:hAnsi="Times New Roman"/>
                <w:b/>
                <w:color w:val="000000"/>
              </w:rPr>
              <w:t>1</w:t>
            </w:r>
          </w:p>
        </w:tc>
        <w:tc>
          <w:tcPr>
            <w:tcW w:w="5103" w:type="dxa"/>
            <w:tcBorders>
              <w:top w:val="single" w:sz="4" w:space="0" w:color="000000"/>
              <w:left w:val="single" w:sz="4" w:space="0" w:color="000000"/>
              <w:bottom w:val="single" w:sz="4" w:space="0" w:color="000000"/>
              <w:right w:val="single" w:sz="4" w:space="0" w:color="000000"/>
            </w:tcBorders>
          </w:tcPr>
          <w:p>
            <w:pPr>
              <w:pStyle w:val="Normal"/>
              <w:widowControl w:val="false"/>
              <w:ind w:hanging="2"/>
              <w:jc w:val="center"/>
              <w:rPr>
                <w:color w:val="000000"/>
              </w:rPr>
            </w:pPr>
            <w:r>
              <w:rPr/>
              <w:t>La comunicación presencial en la empresa.</w:t>
            </w:r>
          </w:p>
        </w:tc>
        <w:tc>
          <w:tcPr>
            <w:tcW w:w="992"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20"/>
              <w:ind w:hanging="2"/>
              <w:jc w:val="both"/>
              <w:rPr>
                <w:rFonts w:ascii="Times New Roman" w:hAnsi="Times New Roman" w:eastAsia="Times New Roman" w:cs="Times New Roman"/>
                <w:color w:val="000000"/>
              </w:rPr>
            </w:pPr>
            <w:r>
              <w:rPr>
                <w:rFonts w:eastAsia="Times New Roman" w:cs="Times New Roman" w:ascii="Times New Roman" w:hAnsi="Times New Roman"/>
                <w:color w:val="000000"/>
              </w:rPr>
            </w:r>
          </w:p>
        </w:tc>
        <w:tc>
          <w:tcPr>
            <w:tcW w:w="1560"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20"/>
              <w:ind w:hanging="2"/>
              <w:jc w:val="both"/>
              <w:rPr>
                <w:rFonts w:ascii="Times New Roman" w:hAnsi="Times New Roman" w:eastAsia="Times New Roman" w:cs="Times New Roman"/>
                <w:color w:val="000000"/>
              </w:rPr>
            </w:pPr>
            <w:r>
              <w:rPr>
                <w:rFonts w:eastAsia="Times New Roman" w:cs="Times New Roman" w:ascii="Times New Roman" w:hAnsi="Times New Roman"/>
                <w:color w:val="000000"/>
              </w:rPr>
              <w:t>2</w:t>
              <w:tab/>
              <w:t>2</w:t>
            </w:r>
          </w:p>
        </w:tc>
        <w:tc>
          <w:tcPr>
            <w:tcW w:w="673"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20"/>
              <w:ind w:hanging="2"/>
              <w:jc w:val="both"/>
              <w:rPr>
                <w:rFonts w:ascii="Times New Roman" w:hAnsi="Times New Roman" w:eastAsia="Times New Roman" w:cs="Times New Roman"/>
                <w:color w:val="000000"/>
              </w:rPr>
            </w:pPr>
            <w:r>
              <w:rPr>
                <w:rFonts w:eastAsia="Times New Roman" w:cs="Times New Roman" w:ascii="Times New Roman" w:hAnsi="Times New Roman"/>
                <w:color w:val="000000"/>
              </w:rPr>
              <w:t>2</w:t>
            </w:r>
          </w:p>
        </w:tc>
      </w:tr>
      <w:tr>
        <w:trPr/>
        <w:tc>
          <w:tcPr>
            <w:tcW w:w="674"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20"/>
              <w:ind w:hanging="2"/>
              <w:jc w:val="both"/>
              <w:rPr>
                <w:rFonts w:ascii="Times New Roman" w:hAnsi="Times New Roman" w:eastAsia="Times New Roman" w:cs="Times New Roman"/>
                <w:color w:val="000000"/>
              </w:rPr>
            </w:pPr>
            <w:r>
              <w:rPr>
                <w:rFonts w:eastAsia="Times New Roman" w:cs="Times New Roman" w:ascii="Times New Roman" w:hAnsi="Times New Roman"/>
                <w:color w:val="000000"/>
              </w:rPr>
            </w:r>
          </w:p>
        </w:tc>
        <w:tc>
          <w:tcPr>
            <w:tcW w:w="993"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20"/>
              <w:ind w:hanging="2"/>
              <w:jc w:val="both"/>
              <w:rPr>
                <w:rFonts w:ascii="Times New Roman" w:hAnsi="Times New Roman" w:eastAsia="Times New Roman" w:cs="Times New Roman"/>
                <w:color w:val="000000"/>
              </w:rPr>
            </w:pPr>
            <w:r>
              <w:rPr>
                <w:rFonts w:eastAsia="Times New Roman" w:cs="Times New Roman" w:ascii="Times New Roman" w:hAnsi="Times New Roman"/>
                <w:color w:val="000000"/>
              </w:rPr>
            </w:r>
          </w:p>
        </w:tc>
        <w:tc>
          <w:tcPr>
            <w:tcW w:w="5103"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20"/>
              <w:ind w:hanging="2"/>
              <w:jc w:val="right"/>
              <w:rPr>
                <w:rFonts w:ascii="Times New Roman" w:hAnsi="Times New Roman" w:eastAsia="Times New Roman" w:cs="Times New Roman"/>
                <w:b/>
                <w:b/>
                <w:color w:val="000000"/>
              </w:rPr>
            </w:pPr>
            <w:r>
              <w:rPr>
                <w:rFonts w:eastAsia="Times New Roman" w:cs="Times New Roman" w:ascii="Times New Roman" w:hAnsi="Times New Roman"/>
                <w:b/>
                <w:color w:val="000000"/>
              </w:rPr>
              <w:t>HORAS Segunda Evaluación 46 o 46</w:t>
            </w:r>
          </w:p>
        </w:tc>
        <w:tc>
          <w:tcPr>
            <w:tcW w:w="992"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20"/>
              <w:ind w:hanging="2"/>
              <w:jc w:val="both"/>
              <w:rPr>
                <w:rFonts w:ascii="Times New Roman" w:hAnsi="Times New Roman" w:eastAsia="Times New Roman" w:cs="Times New Roman"/>
                <w:color w:val="000000"/>
              </w:rPr>
            </w:pPr>
            <w:r>
              <w:rPr>
                <w:rFonts w:eastAsia="Times New Roman" w:cs="Times New Roman" w:ascii="Times New Roman" w:hAnsi="Times New Roman"/>
                <w:color w:val="000000"/>
              </w:rPr>
            </w:r>
          </w:p>
        </w:tc>
        <w:tc>
          <w:tcPr>
            <w:tcW w:w="1560"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20"/>
              <w:ind w:hanging="2"/>
              <w:jc w:val="both"/>
              <w:rPr>
                <w:rFonts w:ascii="Times New Roman" w:hAnsi="Times New Roman" w:eastAsia="Times New Roman" w:cs="Times New Roman"/>
                <w:color w:val="000000"/>
              </w:rPr>
            </w:pPr>
            <w:r>
              <w:rPr>
                <w:rFonts w:eastAsia="Times New Roman" w:cs="Times New Roman" w:ascii="Times New Roman" w:hAnsi="Times New Roman"/>
                <w:color w:val="000000"/>
              </w:rPr>
            </w:r>
          </w:p>
        </w:tc>
        <w:tc>
          <w:tcPr>
            <w:tcW w:w="673"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20"/>
              <w:ind w:hanging="2"/>
              <w:jc w:val="both"/>
              <w:rPr>
                <w:rFonts w:ascii="Times New Roman" w:hAnsi="Times New Roman" w:eastAsia="Times New Roman" w:cs="Times New Roman"/>
                <w:color w:val="000000"/>
              </w:rPr>
            </w:pPr>
            <w:r>
              <w:rPr>
                <w:rFonts w:eastAsia="Times New Roman" w:cs="Times New Roman" w:ascii="Times New Roman" w:hAnsi="Times New Roman"/>
                <w:color w:val="000000"/>
              </w:rPr>
            </w:r>
          </w:p>
        </w:tc>
      </w:tr>
      <w:tr>
        <w:trPr/>
        <w:tc>
          <w:tcPr>
            <w:tcW w:w="674"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20"/>
              <w:ind w:hanging="2"/>
              <w:jc w:val="both"/>
              <w:rPr>
                <w:rFonts w:ascii="Times New Roman" w:hAnsi="Times New Roman" w:eastAsia="Times New Roman" w:cs="Times New Roman"/>
                <w:color w:val="000000"/>
              </w:rPr>
            </w:pPr>
            <w:r>
              <w:rPr>
                <w:rFonts w:eastAsia="Times New Roman" w:cs="Times New Roman" w:ascii="Times New Roman" w:hAnsi="Times New Roman"/>
                <w:b/>
                <w:color w:val="000000"/>
              </w:rPr>
              <w:t>6</w:t>
            </w:r>
          </w:p>
        </w:tc>
        <w:tc>
          <w:tcPr>
            <w:tcW w:w="993"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20"/>
              <w:ind w:hanging="2"/>
              <w:jc w:val="both"/>
              <w:rPr>
                <w:rFonts w:ascii="Times New Roman" w:hAnsi="Times New Roman" w:eastAsia="Times New Roman" w:cs="Times New Roman"/>
                <w:color w:val="000000"/>
              </w:rPr>
            </w:pPr>
            <w:r>
              <w:rPr>
                <w:rFonts w:eastAsia="Times New Roman" w:cs="Times New Roman" w:ascii="Times New Roman" w:hAnsi="Times New Roman"/>
                <w:b/>
                <w:color w:val="000000"/>
              </w:rPr>
              <w:t>4</w:t>
            </w:r>
          </w:p>
        </w:tc>
        <w:tc>
          <w:tcPr>
            <w:tcW w:w="5103"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20"/>
              <w:ind w:hanging="2"/>
              <w:jc w:val="both"/>
              <w:rPr/>
            </w:pPr>
            <w:r>
              <w:rPr/>
              <w:t>Servicio Posventa</w:t>
            </w:r>
          </w:p>
        </w:tc>
        <w:tc>
          <w:tcPr>
            <w:tcW w:w="992"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20"/>
              <w:ind w:hanging="2"/>
              <w:jc w:val="both"/>
              <w:rPr>
                <w:rFonts w:ascii="Times New Roman" w:hAnsi="Times New Roman" w:eastAsia="Times New Roman" w:cs="Times New Roman"/>
                <w:color w:val="000000"/>
              </w:rPr>
            </w:pPr>
            <w:r>
              <w:rPr>
                <w:rFonts w:eastAsia="Times New Roman" w:cs="Times New Roman" w:ascii="Times New Roman" w:hAnsi="Times New Roman"/>
                <w:b/>
                <w:color w:val="000000"/>
              </w:rPr>
              <w:t>T 8</w:t>
            </w:r>
          </w:p>
        </w:tc>
        <w:tc>
          <w:tcPr>
            <w:tcW w:w="1560" w:type="dxa"/>
            <w:tcBorders>
              <w:top w:val="single" w:sz="4" w:space="0" w:color="000000"/>
              <w:left w:val="single" w:sz="4" w:space="0" w:color="000000"/>
              <w:bottom w:val="single" w:sz="4" w:space="0" w:color="000000"/>
              <w:right w:val="single" w:sz="4" w:space="0" w:color="000000"/>
            </w:tcBorders>
            <w:shd w:color="auto" w:fill="C6D9F1" w:val="clear"/>
          </w:tcPr>
          <w:p>
            <w:pPr>
              <w:pStyle w:val="Normal"/>
              <w:widowControl w:val="false"/>
              <w:spacing w:before="0" w:after="120"/>
              <w:ind w:hanging="2"/>
              <w:jc w:val="both"/>
              <w:rPr>
                <w:rFonts w:ascii="Times New Roman" w:hAnsi="Times New Roman" w:eastAsia="Times New Roman" w:cs="Times New Roman"/>
                <w:color w:val="000000"/>
              </w:rPr>
            </w:pPr>
            <w:r>
              <w:rPr>
                <w:rFonts w:eastAsia="Times New Roman" w:cs="Times New Roman" w:ascii="Times New Roman" w:hAnsi="Times New Roman"/>
                <w:b/>
              </w:rPr>
              <w:t>13</w:t>
            </w:r>
            <w:r>
              <w:rPr>
                <w:rFonts w:eastAsia="Times New Roman" w:cs="Times New Roman" w:ascii="Times New Roman" w:hAnsi="Times New Roman"/>
                <w:b/>
                <w:color w:val="000000"/>
              </w:rPr>
              <w:tab/>
              <w:t>1</w:t>
            </w:r>
            <w:r>
              <w:rPr>
                <w:rFonts w:eastAsia="Times New Roman" w:cs="Times New Roman" w:ascii="Times New Roman" w:hAnsi="Times New Roman"/>
                <w:b/>
              </w:rPr>
              <w:t>5</w:t>
            </w:r>
          </w:p>
        </w:tc>
        <w:tc>
          <w:tcPr>
            <w:tcW w:w="673"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20"/>
              <w:ind w:hanging="2"/>
              <w:jc w:val="both"/>
              <w:rPr>
                <w:rFonts w:ascii="Times New Roman" w:hAnsi="Times New Roman" w:eastAsia="Times New Roman" w:cs="Times New Roman"/>
                <w:color w:val="000000"/>
              </w:rPr>
            </w:pPr>
            <w:r>
              <w:rPr>
                <w:rFonts w:eastAsia="Times New Roman" w:cs="Times New Roman" w:ascii="Times New Roman" w:hAnsi="Times New Roman"/>
                <w:b/>
                <w:color w:val="000000"/>
              </w:rPr>
              <w:t>3</w:t>
            </w:r>
          </w:p>
        </w:tc>
      </w:tr>
      <w:tr>
        <w:trPr/>
        <w:tc>
          <w:tcPr>
            <w:tcW w:w="674"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20"/>
              <w:ind w:hanging="2"/>
              <w:jc w:val="both"/>
              <w:rPr>
                <w:rFonts w:ascii="Times New Roman" w:hAnsi="Times New Roman" w:eastAsia="Times New Roman" w:cs="Times New Roman"/>
                <w:color w:val="000000"/>
              </w:rPr>
            </w:pPr>
            <w:r>
              <w:rPr>
                <w:rFonts w:eastAsia="Times New Roman" w:cs="Times New Roman" w:ascii="Times New Roman" w:hAnsi="Times New Roman"/>
                <w:b/>
                <w:color w:val="000000"/>
              </w:rPr>
              <w:t>2</w:t>
            </w:r>
          </w:p>
        </w:tc>
        <w:tc>
          <w:tcPr>
            <w:tcW w:w="993"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20"/>
              <w:ind w:hanging="2"/>
              <w:jc w:val="both"/>
              <w:rPr>
                <w:rFonts w:ascii="Times New Roman" w:hAnsi="Times New Roman" w:eastAsia="Times New Roman" w:cs="Times New Roman"/>
                <w:color w:val="000000"/>
              </w:rPr>
            </w:pPr>
            <w:r>
              <w:rPr>
                <w:rFonts w:eastAsia="Times New Roman" w:cs="Times New Roman" w:ascii="Times New Roman" w:hAnsi="Times New Roman"/>
                <w:b/>
                <w:color w:val="000000"/>
              </w:rPr>
              <w:t>1</w:t>
            </w:r>
          </w:p>
        </w:tc>
        <w:tc>
          <w:tcPr>
            <w:tcW w:w="5103" w:type="dxa"/>
            <w:tcBorders>
              <w:top w:val="single" w:sz="4" w:space="0" w:color="000000"/>
              <w:left w:val="single" w:sz="4" w:space="0" w:color="000000"/>
              <w:bottom w:val="single" w:sz="4" w:space="0" w:color="000000"/>
              <w:right w:val="single" w:sz="4" w:space="0" w:color="000000"/>
            </w:tcBorders>
          </w:tcPr>
          <w:p>
            <w:pPr>
              <w:pStyle w:val="Normal"/>
              <w:widowControl w:val="false"/>
              <w:ind w:hanging="2"/>
              <w:jc w:val="center"/>
              <w:rPr>
                <w:color w:val="000000"/>
              </w:rPr>
            </w:pPr>
            <w:r>
              <w:rPr/>
              <w:t>La comunicación presencial en la empresa.</w:t>
            </w:r>
          </w:p>
        </w:tc>
        <w:tc>
          <w:tcPr>
            <w:tcW w:w="992"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20"/>
              <w:ind w:hanging="2"/>
              <w:jc w:val="both"/>
              <w:rPr>
                <w:rFonts w:ascii="Times New Roman" w:hAnsi="Times New Roman" w:eastAsia="Times New Roman" w:cs="Times New Roman"/>
                <w:b/>
                <w:b/>
                <w:color w:val="000000"/>
              </w:rPr>
            </w:pPr>
            <w:r>
              <w:rPr>
                <w:rFonts w:eastAsia="Times New Roman" w:cs="Times New Roman" w:ascii="Times New Roman" w:hAnsi="Times New Roman"/>
                <w:b/>
                <w:color w:val="000000"/>
              </w:rPr>
            </w:r>
          </w:p>
        </w:tc>
        <w:tc>
          <w:tcPr>
            <w:tcW w:w="1560"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20"/>
              <w:ind w:hanging="2"/>
              <w:jc w:val="both"/>
              <w:rPr>
                <w:rFonts w:ascii="Times New Roman" w:hAnsi="Times New Roman" w:eastAsia="Times New Roman" w:cs="Times New Roman"/>
                <w:b/>
                <w:b/>
              </w:rPr>
            </w:pPr>
            <w:r>
              <w:rPr>
                <w:rFonts w:eastAsia="Times New Roman" w:cs="Times New Roman" w:ascii="Times New Roman" w:hAnsi="Times New Roman"/>
                <w:b/>
              </w:rPr>
              <w:t>3</w:t>
              <w:tab/>
              <w:t>3</w:t>
            </w:r>
          </w:p>
        </w:tc>
        <w:tc>
          <w:tcPr>
            <w:tcW w:w="673"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20"/>
              <w:ind w:hanging="2"/>
              <w:jc w:val="both"/>
              <w:rPr>
                <w:rFonts w:ascii="Times New Roman" w:hAnsi="Times New Roman" w:eastAsia="Times New Roman" w:cs="Times New Roman"/>
                <w:b/>
                <w:b/>
                <w:color w:val="000000"/>
              </w:rPr>
            </w:pPr>
            <w:r>
              <w:rPr>
                <w:rFonts w:eastAsia="Times New Roman" w:cs="Times New Roman" w:ascii="Times New Roman" w:hAnsi="Times New Roman"/>
                <w:b/>
                <w:color w:val="000000"/>
              </w:rPr>
            </w:r>
          </w:p>
        </w:tc>
      </w:tr>
      <w:tr>
        <w:trPr/>
        <w:tc>
          <w:tcPr>
            <w:tcW w:w="674"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20"/>
              <w:ind w:hanging="2"/>
              <w:jc w:val="both"/>
              <w:rPr>
                <w:rFonts w:ascii="Times New Roman" w:hAnsi="Times New Roman" w:eastAsia="Times New Roman" w:cs="Times New Roman"/>
                <w:color w:val="000000"/>
              </w:rPr>
            </w:pPr>
            <w:r>
              <w:rPr>
                <w:rFonts w:eastAsia="Times New Roman" w:cs="Times New Roman" w:ascii="Times New Roman" w:hAnsi="Times New Roman"/>
                <w:b/>
                <w:color w:val="000000"/>
              </w:rPr>
              <w:t>7</w:t>
            </w:r>
          </w:p>
        </w:tc>
        <w:tc>
          <w:tcPr>
            <w:tcW w:w="993"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20"/>
              <w:ind w:hanging="2"/>
              <w:jc w:val="both"/>
              <w:rPr>
                <w:rFonts w:ascii="Times New Roman" w:hAnsi="Times New Roman" w:eastAsia="Times New Roman" w:cs="Times New Roman"/>
                <w:color w:val="000000"/>
              </w:rPr>
            </w:pPr>
            <w:r>
              <w:rPr>
                <w:rFonts w:eastAsia="Times New Roman" w:cs="Times New Roman" w:ascii="Times New Roman" w:hAnsi="Times New Roman"/>
                <w:b/>
                <w:color w:val="000000"/>
              </w:rPr>
              <w:t>6</w:t>
            </w:r>
          </w:p>
        </w:tc>
        <w:tc>
          <w:tcPr>
            <w:tcW w:w="5103"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20"/>
              <w:ind w:hanging="2"/>
              <w:jc w:val="both"/>
              <w:rPr>
                <w:color w:val="000000"/>
              </w:rPr>
            </w:pPr>
            <w:r>
              <w:rPr/>
              <w:t>Técnicas de comunicación en la atención al cliente DUALIZADO 5e) y 5f)</w:t>
            </w:r>
          </w:p>
        </w:tc>
        <w:tc>
          <w:tcPr>
            <w:tcW w:w="992"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20"/>
              <w:ind w:hanging="2"/>
              <w:jc w:val="both"/>
              <w:rPr>
                <w:rFonts w:ascii="Times New Roman" w:hAnsi="Times New Roman" w:eastAsia="Times New Roman" w:cs="Times New Roman"/>
                <w:color w:val="000000"/>
              </w:rPr>
            </w:pPr>
            <w:r>
              <w:rPr>
                <w:rFonts w:eastAsia="Times New Roman" w:cs="Times New Roman" w:ascii="Times New Roman" w:hAnsi="Times New Roman"/>
                <w:b/>
                <w:color w:val="000000"/>
              </w:rPr>
              <w:t>T 6</w:t>
            </w:r>
          </w:p>
        </w:tc>
        <w:tc>
          <w:tcPr>
            <w:tcW w:w="1560"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20"/>
              <w:ind w:hanging="2"/>
              <w:jc w:val="both"/>
              <w:rPr>
                <w:rFonts w:ascii="Times New Roman" w:hAnsi="Times New Roman" w:eastAsia="Times New Roman" w:cs="Times New Roman"/>
                <w:color w:val="000000"/>
              </w:rPr>
            </w:pPr>
            <w:r>
              <w:rPr>
                <w:rFonts w:eastAsia="Times New Roman" w:cs="Times New Roman" w:ascii="Times New Roman" w:hAnsi="Times New Roman"/>
                <w:b/>
              </w:rPr>
              <w:t>8</w:t>
            </w:r>
            <w:r>
              <w:rPr>
                <w:rFonts w:eastAsia="Times New Roman" w:cs="Times New Roman" w:ascii="Times New Roman" w:hAnsi="Times New Roman"/>
                <w:b/>
                <w:color w:val="000000"/>
              </w:rPr>
              <w:tab/>
            </w:r>
            <w:r>
              <w:rPr>
                <w:rFonts w:eastAsia="Times New Roman" w:cs="Times New Roman" w:ascii="Times New Roman" w:hAnsi="Times New Roman"/>
                <w:b/>
              </w:rPr>
              <w:t>8</w:t>
            </w:r>
          </w:p>
        </w:tc>
        <w:tc>
          <w:tcPr>
            <w:tcW w:w="673"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20"/>
              <w:ind w:hanging="2"/>
              <w:jc w:val="both"/>
              <w:rPr>
                <w:rFonts w:ascii="Times New Roman" w:hAnsi="Times New Roman" w:eastAsia="Times New Roman" w:cs="Times New Roman"/>
                <w:color w:val="000000"/>
              </w:rPr>
            </w:pPr>
            <w:r>
              <w:rPr>
                <w:rFonts w:eastAsia="Times New Roman" w:cs="Times New Roman" w:ascii="Times New Roman" w:hAnsi="Times New Roman"/>
                <w:b/>
                <w:color w:val="000000"/>
              </w:rPr>
              <w:t>3</w:t>
            </w:r>
          </w:p>
        </w:tc>
      </w:tr>
      <w:tr>
        <w:trPr>
          <w:trHeight w:val="581" w:hRule="atLeast"/>
        </w:trPr>
        <w:tc>
          <w:tcPr>
            <w:tcW w:w="674"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20"/>
              <w:ind w:hanging="2"/>
              <w:jc w:val="both"/>
              <w:rPr>
                <w:rFonts w:ascii="Times New Roman" w:hAnsi="Times New Roman" w:eastAsia="Times New Roman" w:cs="Times New Roman"/>
                <w:color w:val="000000"/>
              </w:rPr>
            </w:pPr>
            <w:r>
              <w:rPr>
                <w:rFonts w:eastAsia="Times New Roman" w:cs="Times New Roman" w:ascii="Times New Roman" w:hAnsi="Times New Roman"/>
                <w:b/>
                <w:color w:val="000000"/>
              </w:rPr>
              <w:t>4</w:t>
            </w:r>
          </w:p>
        </w:tc>
        <w:tc>
          <w:tcPr>
            <w:tcW w:w="993"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20"/>
              <w:ind w:hanging="2"/>
              <w:jc w:val="both"/>
              <w:rPr>
                <w:rFonts w:ascii="Times New Roman" w:hAnsi="Times New Roman" w:eastAsia="Times New Roman" w:cs="Times New Roman"/>
                <w:color w:val="000000"/>
              </w:rPr>
            </w:pPr>
            <w:r>
              <w:rPr>
                <w:rFonts w:eastAsia="Times New Roman" w:cs="Times New Roman" w:ascii="Times New Roman" w:hAnsi="Times New Roman"/>
                <w:b/>
                <w:color w:val="000000"/>
              </w:rPr>
              <w:t>7</w:t>
            </w:r>
          </w:p>
        </w:tc>
        <w:tc>
          <w:tcPr>
            <w:tcW w:w="5103"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20"/>
              <w:ind w:hanging="2"/>
              <w:jc w:val="both"/>
              <w:rPr>
                <w:color w:val="000000"/>
              </w:rPr>
            </w:pPr>
            <w:r>
              <w:rPr>
                <w:color w:val="000000"/>
              </w:rPr>
              <w:t>Archivo, registro y recuperación de la información DUALIZADO todos los criterios excepto 4b).</w:t>
            </w:r>
          </w:p>
        </w:tc>
        <w:tc>
          <w:tcPr>
            <w:tcW w:w="992"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20"/>
              <w:ind w:hanging="2"/>
              <w:jc w:val="both"/>
              <w:rPr>
                <w:rFonts w:ascii="Times New Roman" w:hAnsi="Times New Roman" w:eastAsia="Times New Roman" w:cs="Times New Roman"/>
                <w:color w:val="000000"/>
              </w:rPr>
            </w:pPr>
            <w:r>
              <w:rPr>
                <w:rFonts w:eastAsia="Times New Roman" w:cs="Times New Roman" w:ascii="Times New Roman" w:hAnsi="Times New Roman"/>
                <w:b/>
                <w:color w:val="000000"/>
              </w:rPr>
              <w:t>T 5</w:t>
            </w:r>
          </w:p>
        </w:tc>
        <w:tc>
          <w:tcPr>
            <w:tcW w:w="1560" w:type="dxa"/>
            <w:tcBorders>
              <w:top w:val="single" w:sz="4" w:space="0" w:color="000000"/>
              <w:left w:val="single" w:sz="4" w:space="0" w:color="000000"/>
              <w:bottom w:val="single" w:sz="4" w:space="0" w:color="000000"/>
              <w:right w:val="single" w:sz="4" w:space="0" w:color="000000"/>
            </w:tcBorders>
            <w:shd w:color="auto" w:fill="C6D9F1" w:val="clear"/>
          </w:tcPr>
          <w:p>
            <w:pPr>
              <w:pStyle w:val="Normal"/>
              <w:widowControl w:val="false"/>
              <w:spacing w:before="0" w:after="120"/>
              <w:ind w:hanging="2"/>
              <w:jc w:val="both"/>
              <w:rPr>
                <w:rFonts w:ascii="Times New Roman" w:hAnsi="Times New Roman" w:eastAsia="Times New Roman" w:cs="Times New Roman"/>
                <w:color w:val="000000"/>
              </w:rPr>
            </w:pPr>
            <w:r>
              <w:rPr>
                <w:rFonts w:eastAsia="Times New Roman" w:cs="Times New Roman" w:ascii="Times New Roman" w:hAnsi="Times New Roman"/>
                <w:b/>
              </w:rPr>
              <w:t>14</w:t>
            </w:r>
            <w:r>
              <w:rPr>
                <w:rFonts w:eastAsia="Times New Roman" w:cs="Times New Roman" w:ascii="Times New Roman" w:hAnsi="Times New Roman"/>
                <w:b/>
                <w:color w:val="000000"/>
              </w:rPr>
              <w:tab/>
            </w:r>
            <w:r>
              <w:rPr>
                <w:rFonts w:eastAsia="Times New Roman" w:cs="Times New Roman" w:ascii="Times New Roman" w:hAnsi="Times New Roman"/>
                <w:b/>
              </w:rPr>
              <w:t>14</w:t>
            </w:r>
          </w:p>
        </w:tc>
        <w:tc>
          <w:tcPr>
            <w:tcW w:w="673"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20"/>
              <w:ind w:hanging="2"/>
              <w:jc w:val="both"/>
              <w:rPr>
                <w:rFonts w:ascii="Times New Roman" w:hAnsi="Times New Roman" w:eastAsia="Times New Roman" w:cs="Times New Roman"/>
                <w:color w:val="000000"/>
              </w:rPr>
            </w:pPr>
            <w:r>
              <w:rPr>
                <w:rFonts w:eastAsia="Times New Roman" w:cs="Times New Roman" w:ascii="Times New Roman" w:hAnsi="Times New Roman"/>
                <w:b/>
                <w:color w:val="000000"/>
              </w:rPr>
              <w:t>3</w:t>
            </w:r>
          </w:p>
        </w:tc>
      </w:tr>
      <w:tr>
        <w:trPr>
          <w:trHeight w:val="581" w:hRule="atLeast"/>
        </w:trPr>
        <w:tc>
          <w:tcPr>
            <w:tcW w:w="674"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20"/>
              <w:ind w:hanging="2"/>
              <w:jc w:val="both"/>
              <w:rPr>
                <w:rFonts w:ascii="Times New Roman" w:hAnsi="Times New Roman" w:eastAsia="Times New Roman" w:cs="Times New Roman"/>
                <w:b/>
                <w:b/>
                <w:color w:val="000000"/>
              </w:rPr>
            </w:pPr>
            <w:r>
              <w:rPr>
                <w:rFonts w:eastAsia="Times New Roman" w:cs="Times New Roman" w:ascii="Times New Roman" w:hAnsi="Times New Roman"/>
                <w:b/>
                <w:color w:val="000000"/>
              </w:rPr>
            </w:r>
          </w:p>
        </w:tc>
        <w:tc>
          <w:tcPr>
            <w:tcW w:w="993"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20"/>
              <w:ind w:hanging="2"/>
              <w:jc w:val="both"/>
              <w:rPr>
                <w:rFonts w:ascii="Times New Roman" w:hAnsi="Times New Roman" w:eastAsia="Times New Roman" w:cs="Times New Roman"/>
                <w:b/>
                <w:b/>
                <w:color w:val="000000"/>
              </w:rPr>
            </w:pPr>
            <w:r>
              <w:rPr>
                <w:rFonts w:eastAsia="Times New Roman" w:cs="Times New Roman" w:ascii="Times New Roman" w:hAnsi="Times New Roman"/>
                <w:b/>
                <w:color w:val="000000"/>
              </w:rPr>
            </w:r>
          </w:p>
        </w:tc>
        <w:tc>
          <w:tcPr>
            <w:tcW w:w="5103"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20"/>
              <w:ind w:hanging="2"/>
              <w:jc w:val="both"/>
              <w:rPr>
                <w:color w:val="000000"/>
              </w:rPr>
            </w:pPr>
            <w:r>
              <w:rPr>
                <w:color w:val="000000"/>
              </w:rPr>
            </w:r>
          </w:p>
        </w:tc>
        <w:tc>
          <w:tcPr>
            <w:tcW w:w="992"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20"/>
              <w:ind w:hanging="2"/>
              <w:jc w:val="both"/>
              <w:rPr>
                <w:rFonts w:ascii="Times New Roman" w:hAnsi="Times New Roman" w:eastAsia="Times New Roman" w:cs="Times New Roman"/>
                <w:b/>
                <w:b/>
                <w:color w:val="000000"/>
              </w:rPr>
            </w:pPr>
            <w:r>
              <w:rPr>
                <w:rFonts w:eastAsia="Times New Roman" w:cs="Times New Roman" w:ascii="Times New Roman" w:hAnsi="Times New Roman"/>
                <w:b/>
                <w:color w:val="000000"/>
              </w:rPr>
            </w:r>
          </w:p>
        </w:tc>
        <w:tc>
          <w:tcPr>
            <w:tcW w:w="1560" w:type="dxa"/>
            <w:tcBorders>
              <w:top w:val="single" w:sz="4" w:space="0" w:color="000000"/>
              <w:left w:val="single" w:sz="4" w:space="0" w:color="000000"/>
              <w:bottom w:val="single" w:sz="4" w:space="0" w:color="000000"/>
              <w:right w:val="single" w:sz="4" w:space="0" w:color="000000"/>
            </w:tcBorders>
            <w:shd w:color="auto" w:fill="C6D9F1" w:val="clear"/>
          </w:tcPr>
          <w:p>
            <w:pPr>
              <w:pStyle w:val="Normal"/>
              <w:widowControl w:val="false"/>
              <w:spacing w:before="0" w:after="120"/>
              <w:ind w:hanging="2"/>
              <w:jc w:val="both"/>
              <w:rPr>
                <w:rFonts w:ascii="Times New Roman" w:hAnsi="Times New Roman" w:eastAsia="Times New Roman" w:cs="Times New Roman"/>
                <w:b/>
                <w:b/>
              </w:rPr>
            </w:pPr>
            <w:r>
              <w:rPr>
                <w:rFonts w:eastAsia="Times New Roman" w:cs="Times New Roman" w:ascii="Times New Roman" w:hAnsi="Times New Roman"/>
                <w:b/>
              </w:rPr>
            </w:r>
          </w:p>
        </w:tc>
        <w:tc>
          <w:tcPr>
            <w:tcW w:w="673"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20"/>
              <w:ind w:hanging="2"/>
              <w:jc w:val="both"/>
              <w:rPr>
                <w:rFonts w:ascii="Times New Roman" w:hAnsi="Times New Roman" w:eastAsia="Times New Roman" w:cs="Times New Roman"/>
                <w:b/>
                <w:b/>
                <w:color w:val="000000"/>
              </w:rPr>
            </w:pPr>
            <w:r>
              <w:rPr>
                <w:rFonts w:eastAsia="Times New Roman" w:cs="Times New Roman" w:ascii="Times New Roman" w:hAnsi="Times New Roman"/>
                <w:b/>
                <w:color w:val="000000"/>
              </w:rPr>
            </w:r>
          </w:p>
        </w:tc>
      </w:tr>
      <w:tr>
        <w:trPr/>
        <w:tc>
          <w:tcPr>
            <w:tcW w:w="674"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20"/>
              <w:ind w:hanging="2"/>
              <w:jc w:val="both"/>
              <w:rPr>
                <w:rFonts w:ascii="Times New Roman" w:hAnsi="Times New Roman" w:eastAsia="Times New Roman" w:cs="Times New Roman"/>
                <w:color w:val="000000"/>
              </w:rPr>
            </w:pPr>
            <w:r>
              <w:rPr>
                <w:rFonts w:eastAsia="Times New Roman" w:cs="Times New Roman" w:ascii="Times New Roman" w:hAnsi="Times New Roman"/>
                <w:color w:val="000000"/>
              </w:rPr>
            </w:r>
          </w:p>
        </w:tc>
        <w:tc>
          <w:tcPr>
            <w:tcW w:w="993"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20"/>
              <w:ind w:hanging="2"/>
              <w:jc w:val="both"/>
              <w:rPr>
                <w:rFonts w:ascii="Times New Roman" w:hAnsi="Times New Roman" w:eastAsia="Times New Roman" w:cs="Times New Roman"/>
                <w:color w:val="000000"/>
              </w:rPr>
            </w:pPr>
            <w:r>
              <w:rPr>
                <w:rFonts w:eastAsia="Times New Roman" w:cs="Times New Roman" w:ascii="Times New Roman" w:hAnsi="Times New Roman"/>
                <w:color w:val="000000"/>
              </w:rPr>
            </w:r>
          </w:p>
        </w:tc>
        <w:tc>
          <w:tcPr>
            <w:tcW w:w="5103"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20"/>
              <w:ind w:hanging="2"/>
              <w:jc w:val="right"/>
              <w:rPr>
                <w:rFonts w:ascii="Times New Roman" w:hAnsi="Times New Roman" w:eastAsia="Times New Roman" w:cs="Times New Roman"/>
                <w:b/>
                <w:b/>
                <w:color w:val="000000"/>
              </w:rPr>
            </w:pPr>
            <w:r>
              <w:rPr>
                <w:rFonts w:eastAsia="Times New Roman" w:cs="Times New Roman" w:ascii="Times New Roman" w:hAnsi="Times New Roman"/>
                <w:b/>
                <w:color w:val="000000"/>
              </w:rPr>
              <w:t>HORAS tercer trimestre 38 o 40.</w:t>
            </w:r>
          </w:p>
          <w:p>
            <w:pPr>
              <w:pStyle w:val="Normal"/>
              <w:widowControl w:val="false"/>
              <w:spacing w:before="0" w:after="120"/>
              <w:ind w:hanging="2"/>
              <w:jc w:val="right"/>
              <w:rPr>
                <w:rFonts w:ascii="Times New Roman" w:hAnsi="Times New Roman" w:eastAsia="Times New Roman" w:cs="Times New Roman"/>
                <w:b/>
                <w:b/>
                <w:color w:val="000000"/>
              </w:rPr>
            </w:pPr>
            <w:r>
              <w:rPr>
                <w:rFonts w:eastAsia="Times New Roman" w:cs="Times New Roman" w:ascii="Times New Roman" w:hAnsi="Times New Roman"/>
                <w:b/>
                <w:color w:val="000000"/>
              </w:rPr>
              <w:t xml:space="preserve">De las que </w:t>
            </w:r>
            <w:r>
              <w:rPr>
                <w:rFonts w:eastAsia="Times New Roman" w:cs="Times New Roman" w:ascii="Times New Roman" w:hAnsi="Times New Roman"/>
                <w:b/>
                <w:color w:val="000000"/>
                <w:shd w:fill="DBE5F1" w:val="clear"/>
              </w:rPr>
              <w:t>2</w:t>
            </w:r>
            <w:r>
              <w:rPr>
                <w:rFonts w:eastAsia="Times New Roman" w:cs="Times New Roman" w:ascii="Times New Roman" w:hAnsi="Times New Roman"/>
                <w:b/>
                <w:shd w:fill="DBE5F1" w:val="clear"/>
              </w:rPr>
              <w:t>2</w:t>
            </w:r>
            <w:r>
              <w:rPr>
                <w:rFonts w:eastAsia="Times New Roman" w:cs="Times New Roman" w:ascii="Times New Roman" w:hAnsi="Times New Roman"/>
                <w:b/>
                <w:color w:val="000000"/>
                <w:shd w:fill="DBE5F1" w:val="clear"/>
              </w:rPr>
              <w:t xml:space="preserve"> dual/ 2</w:t>
            </w:r>
            <w:r>
              <w:rPr>
                <w:rFonts w:eastAsia="Times New Roman" w:cs="Times New Roman" w:ascii="Times New Roman" w:hAnsi="Times New Roman"/>
                <w:b/>
                <w:shd w:fill="DBE5F1" w:val="clear"/>
              </w:rPr>
              <w:t>2</w:t>
            </w:r>
            <w:r>
              <w:rPr>
                <w:rFonts w:eastAsia="Times New Roman" w:cs="Times New Roman" w:ascii="Times New Roman" w:hAnsi="Times New Roman"/>
                <w:b/>
                <w:color w:val="000000"/>
                <w:shd w:fill="DBE5F1" w:val="clear"/>
              </w:rPr>
              <w:t xml:space="preserve"> dual</w:t>
            </w:r>
          </w:p>
          <w:p>
            <w:pPr>
              <w:pStyle w:val="Normal"/>
              <w:widowControl w:val="false"/>
              <w:spacing w:before="0" w:after="120"/>
              <w:ind w:hanging="2"/>
              <w:jc w:val="right"/>
              <w:rPr>
                <w:rFonts w:ascii="Times New Roman" w:hAnsi="Times New Roman" w:eastAsia="Times New Roman" w:cs="Times New Roman"/>
                <w:color w:val="000000"/>
              </w:rPr>
            </w:pPr>
            <w:r>
              <w:rPr>
                <w:rFonts w:eastAsia="Times New Roman" w:cs="Times New Roman" w:ascii="Times New Roman" w:hAnsi="Times New Roman"/>
                <w:color w:val="000000"/>
              </w:rPr>
            </w:r>
          </w:p>
        </w:tc>
        <w:tc>
          <w:tcPr>
            <w:tcW w:w="992"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20"/>
              <w:ind w:hanging="2"/>
              <w:jc w:val="both"/>
              <w:rPr>
                <w:rFonts w:ascii="Times New Roman" w:hAnsi="Times New Roman" w:eastAsia="Times New Roman" w:cs="Times New Roman"/>
                <w:color w:val="000000"/>
              </w:rPr>
            </w:pPr>
            <w:r>
              <w:rPr>
                <w:rFonts w:eastAsia="Times New Roman" w:cs="Times New Roman" w:ascii="Times New Roman" w:hAnsi="Times New Roman"/>
                <w:color w:val="000000"/>
              </w:rPr>
            </w:r>
          </w:p>
        </w:tc>
        <w:tc>
          <w:tcPr>
            <w:tcW w:w="1560"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20"/>
              <w:ind w:hanging="2"/>
              <w:jc w:val="both"/>
              <w:rPr>
                <w:rFonts w:ascii="Times New Roman" w:hAnsi="Times New Roman" w:eastAsia="Times New Roman" w:cs="Times New Roman"/>
                <w:color w:val="000000"/>
              </w:rPr>
            </w:pPr>
            <w:r>
              <w:rPr>
                <w:rFonts w:eastAsia="Times New Roman" w:cs="Times New Roman" w:ascii="Times New Roman" w:hAnsi="Times New Roman"/>
                <w:color w:val="000000"/>
              </w:rPr>
            </w:r>
          </w:p>
        </w:tc>
        <w:tc>
          <w:tcPr>
            <w:tcW w:w="673"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20"/>
              <w:ind w:hanging="2"/>
              <w:jc w:val="both"/>
              <w:rPr>
                <w:rFonts w:ascii="Times New Roman" w:hAnsi="Times New Roman" w:eastAsia="Times New Roman" w:cs="Times New Roman"/>
                <w:color w:val="000000"/>
              </w:rPr>
            </w:pPr>
            <w:r>
              <w:rPr>
                <w:rFonts w:eastAsia="Times New Roman" w:cs="Times New Roman" w:ascii="Times New Roman" w:hAnsi="Times New Roman"/>
                <w:color w:val="000000"/>
              </w:rPr>
            </w:r>
          </w:p>
        </w:tc>
      </w:tr>
      <w:tr>
        <w:trPr/>
        <w:tc>
          <w:tcPr>
            <w:tcW w:w="674"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20"/>
              <w:ind w:hanging="2"/>
              <w:jc w:val="both"/>
              <w:rPr>
                <w:rFonts w:ascii="Times New Roman" w:hAnsi="Times New Roman" w:eastAsia="Times New Roman" w:cs="Times New Roman"/>
                <w:color w:val="000000"/>
              </w:rPr>
            </w:pPr>
            <w:r>
              <w:rPr>
                <w:rFonts w:eastAsia="Times New Roman" w:cs="Times New Roman" w:ascii="Times New Roman" w:hAnsi="Times New Roman"/>
                <w:color w:val="000000"/>
              </w:rPr>
            </w:r>
          </w:p>
        </w:tc>
        <w:tc>
          <w:tcPr>
            <w:tcW w:w="993"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20"/>
              <w:ind w:hanging="2"/>
              <w:jc w:val="both"/>
              <w:rPr>
                <w:rFonts w:ascii="Times New Roman" w:hAnsi="Times New Roman" w:eastAsia="Times New Roman" w:cs="Times New Roman"/>
                <w:color w:val="000000"/>
              </w:rPr>
            </w:pPr>
            <w:r>
              <w:rPr>
                <w:rFonts w:eastAsia="Times New Roman" w:cs="Times New Roman" w:ascii="Times New Roman" w:hAnsi="Times New Roman"/>
                <w:color w:val="000000"/>
              </w:rPr>
            </w:r>
          </w:p>
        </w:tc>
        <w:tc>
          <w:tcPr>
            <w:tcW w:w="5103"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20"/>
              <w:ind w:hanging="2"/>
              <w:jc w:val="right"/>
              <w:rPr>
                <w:rFonts w:ascii="Times New Roman" w:hAnsi="Times New Roman" w:eastAsia="Times New Roman" w:cs="Times New Roman"/>
                <w:color w:val="000000"/>
              </w:rPr>
            </w:pPr>
            <w:r>
              <w:rPr>
                <w:rFonts w:eastAsia="Times New Roman" w:cs="Times New Roman" w:ascii="Times New Roman" w:hAnsi="Times New Roman"/>
                <w:b/>
                <w:color w:val="000000"/>
              </w:rPr>
              <w:t>TOTAL HORAS</w:t>
            </w:r>
          </w:p>
        </w:tc>
        <w:tc>
          <w:tcPr>
            <w:tcW w:w="992"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20"/>
              <w:ind w:hanging="2"/>
              <w:jc w:val="both"/>
              <w:rPr>
                <w:rFonts w:ascii="Times New Roman" w:hAnsi="Times New Roman" w:eastAsia="Times New Roman" w:cs="Times New Roman"/>
                <w:color w:val="000000"/>
              </w:rPr>
            </w:pPr>
            <w:r>
              <w:rPr>
                <w:rFonts w:eastAsia="Times New Roman" w:cs="Times New Roman" w:ascii="Times New Roman" w:hAnsi="Times New Roman"/>
                <w:color w:val="000000"/>
              </w:rPr>
            </w:r>
          </w:p>
        </w:tc>
        <w:tc>
          <w:tcPr>
            <w:tcW w:w="1560"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20"/>
              <w:ind w:hanging="2"/>
              <w:jc w:val="both"/>
              <w:rPr>
                <w:rFonts w:ascii="Times New Roman" w:hAnsi="Times New Roman" w:eastAsia="Times New Roman" w:cs="Times New Roman"/>
                <w:color w:val="000000"/>
              </w:rPr>
            </w:pPr>
            <w:r>
              <w:rPr>
                <w:rFonts w:eastAsia="Times New Roman" w:cs="Times New Roman" w:ascii="Times New Roman" w:hAnsi="Times New Roman"/>
                <w:b/>
                <w:color w:val="000000"/>
              </w:rPr>
              <w:t>134/136</w:t>
            </w:r>
          </w:p>
        </w:tc>
        <w:tc>
          <w:tcPr>
            <w:tcW w:w="673"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20"/>
              <w:ind w:hanging="2"/>
              <w:jc w:val="both"/>
              <w:rPr>
                <w:rFonts w:ascii="Times New Roman" w:hAnsi="Times New Roman" w:eastAsia="Times New Roman" w:cs="Times New Roman"/>
                <w:color w:val="000000"/>
              </w:rPr>
            </w:pPr>
            <w:r>
              <w:rPr>
                <w:rFonts w:eastAsia="Times New Roman" w:cs="Times New Roman" w:ascii="Times New Roman" w:hAnsi="Times New Roman"/>
                <w:color w:val="000000"/>
              </w:rPr>
            </w:r>
          </w:p>
        </w:tc>
      </w:tr>
      <w:tr>
        <w:trPr/>
        <w:tc>
          <w:tcPr>
            <w:tcW w:w="674"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20"/>
              <w:ind w:hanging="2"/>
              <w:jc w:val="both"/>
              <w:rPr>
                <w:rFonts w:ascii="Times New Roman" w:hAnsi="Times New Roman" w:eastAsia="Times New Roman" w:cs="Times New Roman"/>
              </w:rPr>
            </w:pPr>
            <w:r>
              <w:rPr>
                <w:rFonts w:eastAsia="Times New Roman" w:cs="Times New Roman" w:ascii="Times New Roman" w:hAnsi="Times New Roman"/>
              </w:rPr>
            </w:r>
          </w:p>
        </w:tc>
        <w:tc>
          <w:tcPr>
            <w:tcW w:w="993"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20"/>
              <w:ind w:hanging="2"/>
              <w:jc w:val="both"/>
              <w:rPr>
                <w:rFonts w:ascii="Times New Roman" w:hAnsi="Times New Roman" w:eastAsia="Times New Roman" w:cs="Times New Roman"/>
              </w:rPr>
            </w:pPr>
            <w:r>
              <w:rPr>
                <w:rFonts w:eastAsia="Times New Roman" w:cs="Times New Roman" w:ascii="Times New Roman" w:hAnsi="Times New Roman"/>
              </w:rPr>
            </w:r>
          </w:p>
        </w:tc>
        <w:tc>
          <w:tcPr>
            <w:tcW w:w="5103" w:type="dxa"/>
            <w:tcBorders>
              <w:top w:val="single" w:sz="4" w:space="0" w:color="000000"/>
              <w:left w:val="single" w:sz="4" w:space="0" w:color="000000"/>
              <w:bottom w:val="single" w:sz="4" w:space="0" w:color="000000"/>
              <w:right w:val="single" w:sz="4" w:space="0" w:color="000000"/>
            </w:tcBorders>
          </w:tcPr>
          <w:p>
            <w:pPr>
              <w:pStyle w:val="Normal"/>
              <w:widowControl w:val="false"/>
              <w:ind w:hanging="2"/>
              <w:rPr/>
            </w:pPr>
            <w:r>
              <w:rPr/>
            </w:r>
          </w:p>
        </w:tc>
        <w:tc>
          <w:tcPr>
            <w:tcW w:w="992"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20"/>
              <w:ind w:hanging="2"/>
              <w:jc w:val="both"/>
              <w:rPr>
                <w:rFonts w:ascii="Times New Roman" w:hAnsi="Times New Roman" w:eastAsia="Times New Roman" w:cs="Times New Roman"/>
              </w:rPr>
            </w:pPr>
            <w:r>
              <w:rPr>
                <w:rFonts w:eastAsia="Times New Roman" w:cs="Times New Roman" w:ascii="Times New Roman" w:hAnsi="Times New Roman"/>
              </w:rPr>
            </w:r>
          </w:p>
        </w:tc>
        <w:tc>
          <w:tcPr>
            <w:tcW w:w="1560"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20"/>
              <w:ind w:hanging="2"/>
              <w:jc w:val="both"/>
              <w:rPr>
                <w:rFonts w:ascii="Times New Roman" w:hAnsi="Times New Roman" w:eastAsia="Times New Roman" w:cs="Times New Roman"/>
              </w:rPr>
            </w:pPr>
            <w:r>
              <w:rPr>
                <w:rFonts w:eastAsia="Times New Roman" w:cs="Times New Roman" w:ascii="Times New Roman" w:hAnsi="Times New Roman"/>
              </w:rPr>
            </w:r>
          </w:p>
        </w:tc>
        <w:tc>
          <w:tcPr>
            <w:tcW w:w="673"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20"/>
              <w:ind w:hanging="2"/>
              <w:jc w:val="both"/>
              <w:rPr>
                <w:rFonts w:ascii="Times New Roman" w:hAnsi="Times New Roman" w:eastAsia="Times New Roman" w:cs="Times New Roman"/>
              </w:rPr>
            </w:pPr>
            <w:r>
              <w:rPr>
                <w:rFonts w:eastAsia="Times New Roman" w:cs="Times New Roman" w:ascii="Times New Roman" w:hAnsi="Times New Roman"/>
              </w:rPr>
            </w:r>
          </w:p>
        </w:tc>
      </w:tr>
      <w:tr>
        <w:trPr/>
        <w:tc>
          <w:tcPr>
            <w:tcW w:w="674"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20"/>
              <w:ind w:hanging="2"/>
              <w:jc w:val="both"/>
              <w:rPr>
                <w:rFonts w:ascii="Times New Roman" w:hAnsi="Times New Roman" w:eastAsia="Times New Roman" w:cs="Times New Roman"/>
                <w:color w:val="000000"/>
              </w:rPr>
            </w:pPr>
            <w:r>
              <w:rPr>
                <w:rFonts w:eastAsia="Times New Roman" w:cs="Times New Roman" w:ascii="Times New Roman" w:hAnsi="Times New Roman"/>
                <w:color w:val="000000"/>
              </w:rPr>
            </w:r>
          </w:p>
        </w:tc>
        <w:tc>
          <w:tcPr>
            <w:tcW w:w="993"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20"/>
              <w:ind w:hanging="2"/>
              <w:jc w:val="both"/>
              <w:rPr>
                <w:rFonts w:ascii="Times New Roman" w:hAnsi="Times New Roman" w:eastAsia="Times New Roman" w:cs="Times New Roman"/>
                <w:color w:val="000000"/>
              </w:rPr>
            </w:pPr>
            <w:r>
              <w:rPr>
                <w:rFonts w:eastAsia="Times New Roman" w:cs="Times New Roman" w:ascii="Times New Roman" w:hAnsi="Times New Roman"/>
                <w:color w:val="000000"/>
              </w:rPr>
            </w:r>
          </w:p>
        </w:tc>
        <w:tc>
          <w:tcPr>
            <w:tcW w:w="5103"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20"/>
              <w:ind w:hanging="2"/>
              <w:jc w:val="both"/>
              <w:rPr>
                <w:rFonts w:ascii="Times New Roman" w:hAnsi="Times New Roman" w:eastAsia="Times New Roman" w:cs="Times New Roman"/>
                <w:color w:val="000000"/>
              </w:rPr>
            </w:pPr>
            <w:r>
              <w:rPr>
                <w:rFonts w:eastAsia="Times New Roman" w:cs="Times New Roman" w:ascii="Times New Roman" w:hAnsi="Times New Roman"/>
                <w:color w:val="000000"/>
              </w:rPr>
            </w:r>
          </w:p>
        </w:tc>
        <w:tc>
          <w:tcPr>
            <w:tcW w:w="992"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20"/>
              <w:ind w:hanging="2"/>
              <w:jc w:val="both"/>
              <w:rPr>
                <w:rFonts w:ascii="Times New Roman" w:hAnsi="Times New Roman" w:eastAsia="Times New Roman" w:cs="Times New Roman"/>
                <w:color w:val="000000"/>
              </w:rPr>
            </w:pPr>
            <w:r>
              <w:rPr>
                <w:rFonts w:eastAsia="Times New Roman" w:cs="Times New Roman" w:ascii="Times New Roman" w:hAnsi="Times New Roman"/>
                <w:color w:val="000000"/>
              </w:rPr>
            </w:r>
          </w:p>
        </w:tc>
        <w:tc>
          <w:tcPr>
            <w:tcW w:w="1560"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20"/>
              <w:ind w:hanging="2"/>
              <w:jc w:val="both"/>
              <w:rPr>
                <w:rFonts w:ascii="Times New Roman" w:hAnsi="Times New Roman" w:eastAsia="Times New Roman" w:cs="Times New Roman"/>
                <w:color w:val="000000"/>
              </w:rPr>
            </w:pPr>
            <w:r>
              <w:rPr>
                <w:rFonts w:eastAsia="Times New Roman" w:cs="Times New Roman" w:ascii="Times New Roman" w:hAnsi="Times New Roman"/>
                <w:color w:val="000000"/>
              </w:rPr>
            </w:r>
          </w:p>
        </w:tc>
        <w:tc>
          <w:tcPr>
            <w:tcW w:w="673"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20"/>
              <w:ind w:hanging="2"/>
              <w:jc w:val="both"/>
              <w:rPr>
                <w:rFonts w:ascii="Times New Roman" w:hAnsi="Times New Roman" w:eastAsia="Times New Roman" w:cs="Times New Roman"/>
                <w:color w:val="000000"/>
              </w:rPr>
            </w:pPr>
            <w:r>
              <w:rPr>
                <w:rFonts w:eastAsia="Times New Roman" w:cs="Times New Roman" w:ascii="Times New Roman" w:hAnsi="Times New Roman"/>
                <w:color w:val="000000"/>
              </w:rPr>
            </w:r>
          </w:p>
        </w:tc>
      </w:tr>
    </w:tbl>
    <w:p>
      <w:pPr>
        <w:pStyle w:val="Normal"/>
        <w:ind w:hanging="2"/>
        <w:jc w:val="both"/>
        <w:rPr/>
      </w:pPr>
      <w:r>
        <w:rPr/>
      </w:r>
    </w:p>
    <w:p>
      <w:pPr>
        <w:pStyle w:val="Normal"/>
        <w:ind w:hanging="2"/>
        <w:jc w:val="both"/>
        <w:rPr/>
      </w:pPr>
      <w:r>
        <w:rPr/>
        <w:t>Las evaluaciones están programadas según las siguientes fechas:</w:t>
      </w:r>
    </w:p>
    <w:p>
      <w:pPr>
        <w:pStyle w:val="Normal"/>
        <w:ind w:hanging="2"/>
        <w:jc w:val="both"/>
        <w:rPr/>
      </w:pPr>
      <w:bookmarkStart w:id="4" w:name="_heading=h.jmnpa9hy7i88"/>
      <w:bookmarkEnd w:id="4"/>
      <w:r>
        <w:rPr/>
        <w:t>Primera evaluación: hasta el 12 de diciembre.</w:t>
      </w:r>
    </w:p>
    <w:p>
      <w:pPr>
        <w:pStyle w:val="Normal"/>
        <w:ind w:hanging="2"/>
        <w:jc w:val="both"/>
        <w:rPr/>
      </w:pPr>
      <w:r>
        <w:rPr/>
        <w:t>Segunda evaluación:</w:t>
        <w:tab/>
        <w:t xml:space="preserve">hasta el 20 marzo . </w:t>
      </w:r>
    </w:p>
    <w:p>
      <w:pPr>
        <w:pStyle w:val="Normal"/>
        <w:ind w:hanging="2"/>
        <w:jc w:val="both"/>
        <w:rPr/>
      </w:pPr>
      <w:r>
        <w:rPr/>
        <w:t xml:space="preserve">Periodo de dualización desde 30 de abril al 5 junio </w:t>
      </w:r>
    </w:p>
    <w:p>
      <w:pPr>
        <w:pStyle w:val="Normal"/>
        <w:ind w:hanging="2"/>
        <w:jc w:val="both"/>
        <w:rPr/>
      </w:pPr>
      <w:r>
        <w:rPr/>
        <w:t>Evaluación final no antes del 10 de junio</w:t>
      </w:r>
    </w:p>
    <w:p>
      <w:pPr>
        <w:pStyle w:val="Normal"/>
        <w:ind w:hanging="2"/>
        <w:jc w:val="both"/>
        <w:rPr/>
      </w:pPr>
      <w:r>
        <w:rPr/>
        <w:t>Segunda Evaluación final: no antes del 23 de junio</w:t>
      </w:r>
    </w:p>
    <w:p>
      <w:pPr>
        <w:pStyle w:val="Normal"/>
        <w:ind w:hanging="2"/>
        <w:jc w:val="both"/>
        <w:rPr/>
      </w:pPr>
      <w:r>
        <w:rPr/>
      </w:r>
    </w:p>
    <w:p>
      <w:pPr>
        <w:pStyle w:val="Normal"/>
        <w:ind w:hanging="2"/>
        <w:jc w:val="both"/>
        <w:rPr/>
      </w:pPr>
      <w:bookmarkStart w:id="5" w:name="_heading=h.30j0zll"/>
      <w:bookmarkEnd w:id="5"/>
      <w:r>
        <w:rPr>
          <w:b/>
          <w:color w:val="000000"/>
        </w:rPr>
        <w:t>UNIDADES DE TRABAJO: OBJETIVOS – CONTENIDOS - CRITERIOS DE EVALUACIÓN.</w:t>
      </w:r>
    </w:p>
    <w:p>
      <w:pPr>
        <w:pStyle w:val="Normal"/>
        <w:pBdr/>
        <w:ind w:hanging="2"/>
        <w:jc w:val="both"/>
        <w:rPr>
          <w:color w:val="000000"/>
        </w:rPr>
      </w:pPr>
      <w:r>
        <w:rPr>
          <w:color w:val="000000"/>
        </w:rPr>
      </w:r>
    </w:p>
    <w:p>
      <w:pPr>
        <w:pStyle w:val="Normal"/>
        <w:ind w:hanging="2"/>
        <w:rPr>
          <w:rFonts w:ascii="Times New Roman" w:hAnsi="Times New Roman" w:eastAsia="Times New Roman" w:cs="Times New Roman"/>
        </w:rPr>
      </w:pPr>
      <w:r>
        <w:rPr>
          <w:rFonts w:eastAsia="Times New Roman" w:cs="Times New Roman" w:ascii="Times New Roman" w:hAnsi="Times New Roman"/>
        </w:rPr>
      </w:r>
    </w:p>
    <w:p>
      <w:pPr>
        <w:pStyle w:val="Normal"/>
        <w:ind w:hanging="2"/>
        <w:jc w:val="center"/>
        <w:rPr/>
      </w:pPr>
      <w:r>
        <w:rPr/>
      </w:r>
    </w:p>
    <w:tbl>
      <w:tblPr>
        <w:tblStyle w:val="affffff6"/>
        <w:tblW w:w="8411" w:type="dxa"/>
        <w:jc w:val="left"/>
        <w:tblInd w:w="-355" w:type="dxa"/>
        <w:tblLayout w:type="fixed"/>
        <w:tblCellMar>
          <w:top w:w="0" w:type="dxa"/>
          <w:left w:w="108" w:type="dxa"/>
          <w:bottom w:w="0" w:type="dxa"/>
          <w:right w:w="108" w:type="dxa"/>
        </w:tblCellMar>
        <w:tblLook w:val="0000" w:noHBand="0" w:noVBand="0" w:firstColumn="0" w:lastRow="0" w:lastColumn="0" w:firstRow="0"/>
      </w:tblPr>
      <w:tblGrid>
        <w:gridCol w:w="6487"/>
        <w:gridCol w:w="1923"/>
      </w:tblGrid>
      <w:tr>
        <w:trPr/>
        <w:tc>
          <w:tcPr>
            <w:tcW w:w="6487" w:type="dxa"/>
            <w:tcBorders>
              <w:top w:val="single" w:sz="4" w:space="0" w:color="000000"/>
              <w:left w:val="single" w:sz="4" w:space="0" w:color="000000"/>
              <w:bottom w:val="single" w:sz="4" w:space="0" w:color="000000"/>
            </w:tcBorders>
            <w:vAlign w:val="center"/>
          </w:tcPr>
          <w:p>
            <w:pPr>
              <w:pStyle w:val="Normal"/>
              <w:keepNext w:val="true"/>
              <w:widowControl w:val="false"/>
              <w:pBdr/>
              <w:ind w:hanging="2"/>
              <w:jc w:val="center"/>
              <w:rPr>
                <w:b/>
                <w:b/>
                <w:color w:val="000000"/>
                <w:sz w:val="22"/>
                <w:szCs w:val="22"/>
                <w:u w:val="single"/>
              </w:rPr>
            </w:pPr>
            <w:r>
              <w:rPr>
                <w:b/>
                <w:color w:val="000000"/>
                <w:sz w:val="22"/>
                <w:szCs w:val="22"/>
                <w:u w:val="single"/>
              </w:rPr>
              <w:t>Actividades concretas a realizar jornada inicial</w:t>
            </w:r>
          </w:p>
        </w:tc>
        <w:tc>
          <w:tcPr>
            <w:tcW w:w="1923" w:type="dxa"/>
            <w:tcBorders>
              <w:top w:val="single" w:sz="4" w:space="0" w:color="000000"/>
              <w:left w:val="single" w:sz="4" w:space="0" w:color="000000"/>
              <w:bottom w:val="single" w:sz="4" w:space="0" w:color="000000"/>
              <w:right w:val="single" w:sz="4" w:space="0" w:color="000000"/>
            </w:tcBorders>
            <w:vAlign w:val="center"/>
          </w:tcPr>
          <w:p>
            <w:pPr>
              <w:pStyle w:val="Normal"/>
              <w:keepNext w:val="true"/>
              <w:widowControl w:val="false"/>
              <w:pBdr/>
              <w:ind w:hanging="2"/>
              <w:jc w:val="center"/>
              <w:rPr>
                <w:b/>
                <w:b/>
                <w:color w:val="000000"/>
                <w:sz w:val="22"/>
                <w:szCs w:val="22"/>
                <w:u w:val="single"/>
              </w:rPr>
            </w:pPr>
            <w:r>
              <w:rPr>
                <w:b/>
                <w:color w:val="000000"/>
                <w:sz w:val="22"/>
                <w:szCs w:val="22"/>
                <w:u w:val="single"/>
              </w:rPr>
              <w:t>Nº horas</w:t>
            </w:r>
          </w:p>
        </w:tc>
      </w:tr>
      <w:tr>
        <w:trPr/>
        <w:tc>
          <w:tcPr>
            <w:tcW w:w="6487" w:type="dxa"/>
            <w:tcBorders>
              <w:top w:val="single" w:sz="4" w:space="0" w:color="000000"/>
              <w:left w:val="single" w:sz="4" w:space="0" w:color="000000"/>
              <w:bottom w:val="single" w:sz="4" w:space="0" w:color="000000"/>
            </w:tcBorders>
          </w:tcPr>
          <w:p>
            <w:pPr>
              <w:pStyle w:val="Normal"/>
              <w:widowControl w:val="false"/>
              <w:ind w:hanging="2"/>
              <w:jc w:val="both"/>
              <w:rPr>
                <w:rFonts w:ascii="Times New Roman" w:hAnsi="Times New Roman" w:eastAsia="Times New Roman" w:cs="Times New Roman"/>
              </w:rPr>
            </w:pPr>
            <w:r>
              <w:rPr>
                <w:rFonts w:eastAsia="Times New Roman" w:cs="Times New Roman" w:ascii="Times New Roman" w:hAnsi="Times New Roman"/>
              </w:rPr>
              <w:t>Rellenar la ficha individual por formulario de google.</w:t>
            </w:r>
          </w:p>
          <w:p>
            <w:pPr>
              <w:pStyle w:val="Normal"/>
              <w:widowControl w:val="false"/>
              <w:ind w:hanging="2"/>
              <w:jc w:val="both"/>
              <w:rPr>
                <w:rFonts w:ascii="Times New Roman" w:hAnsi="Times New Roman" w:eastAsia="Times New Roman" w:cs="Times New Roman"/>
              </w:rPr>
            </w:pPr>
            <w:r>
              <w:rPr>
                <w:rFonts w:eastAsia="Times New Roman" w:cs="Times New Roman" w:ascii="Times New Roman" w:hAnsi="Times New Roman"/>
              </w:rPr>
              <w:t>Realizar dinámica de los refranes para presentarse en clase.(Dinámica de presentación)</w:t>
            </w:r>
          </w:p>
          <w:p>
            <w:pPr>
              <w:pStyle w:val="Normal"/>
              <w:widowControl w:val="false"/>
              <w:ind w:hanging="2"/>
              <w:jc w:val="both"/>
              <w:rPr>
                <w:rFonts w:ascii="Times New Roman" w:hAnsi="Times New Roman" w:eastAsia="Times New Roman" w:cs="Times New Roman"/>
              </w:rPr>
            </w:pPr>
            <w:r>
              <w:rPr>
                <w:rFonts w:eastAsia="Times New Roman" w:cs="Times New Roman" w:ascii="Times New Roman" w:hAnsi="Times New Roman"/>
              </w:rPr>
              <w:t>Evaluación inicial. Lectura de la fábula la ostra y el pez. Realizar resumen y cuestionario de 40 preguntas.</w:t>
            </w:r>
          </w:p>
          <w:p>
            <w:pPr>
              <w:pStyle w:val="Normal"/>
              <w:widowControl w:val="false"/>
              <w:ind w:hanging="2"/>
              <w:jc w:val="both"/>
              <w:rPr>
                <w:rFonts w:ascii="Times New Roman" w:hAnsi="Times New Roman" w:eastAsia="Times New Roman" w:cs="Times New Roman"/>
              </w:rPr>
            </w:pPr>
            <w:r>
              <w:rPr>
                <w:rFonts w:eastAsia="Times New Roman" w:cs="Times New Roman" w:ascii="Times New Roman" w:hAnsi="Times New Roman"/>
              </w:rPr>
              <w:t>Test de Inteligencias Múltiples</w:t>
            </w:r>
          </w:p>
          <w:p>
            <w:pPr>
              <w:pStyle w:val="Normal"/>
              <w:widowControl w:val="false"/>
              <w:ind w:hanging="2"/>
              <w:jc w:val="both"/>
              <w:rPr>
                <w:rFonts w:ascii="Times New Roman" w:hAnsi="Times New Roman" w:eastAsia="Times New Roman" w:cs="Times New Roman"/>
              </w:rPr>
            </w:pPr>
            <w:r>
              <w:rPr>
                <w:rFonts w:eastAsia="Times New Roman" w:cs="Times New Roman" w:ascii="Times New Roman" w:hAnsi="Times New Roman"/>
              </w:rPr>
              <w:t>Test características de personalidad</w:t>
            </w:r>
          </w:p>
          <w:p>
            <w:pPr>
              <w:pStyle w:val="Normal"/>
              <w:widowControl w:val="false"/>
              <w:ind w:hanging="2"/>
              <w:jc w:val="both"/>
              <w:rPr>
                <w:color w:val="000000"/>
                <w:sz w:val="22"/>
                <w:szCs w:val="22"/>
              </w:rPr>
            </w:pPr>
            <w:r>
              <w:rPr>
                <w:color w:val="000000"/>
                <w:sz w:val="22"/>
                <w:szCs w:val="22"/>
              </w:rPr>
            </w:r>
          </w:p>
        </w:tc>
        <w:tc>
          <w:tcPr>
            <w:tcW w:w="1923"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pBdr/>
              <w:ind w:hanging="2"/>
              <w:jc w:val="center"/>
              <w:rPr>
                <w:color w:val="000000"/>
                <w:sz w:val="22"/>
                <w:szCs w:val="22"/>
              </w:rPr>
            </w:pPr>
            <w:r>
              <w:rPr>
                <w:color w:val="000000"/>
                <w:sz w:val="22"/>
                <w:szCs w:val="22"/>
              </w:rPr>
              <w:t>4</w:t>
            </w:r>
          </w:p>
        </w:tc>
      </w:tr>
    </w:tbl>
    <w:p>
      <w:pPr>
        <w:pStyle w:val="Normal"/>
        <w:ind w:hanging="2"/>
        <w:jc w:val="center"/>
        <w:rPr/>
      </w:pPr>
      <w:r>
        <w:rPr/>
      </w:r>
    </w:p>
    <w:p>
      <w:pPr>
        <w:pStyle w:val="Normal"/>
        <w:ind w:hanging="2"/>
        <w:jc w:val="center"/>
        <w:rPr/>
      </w:pPr>
      <w:r>
        <w:rPr/>
      </w:r>
    </w:p>
    <w:p>
      <w:pPr>
        <w:pStyle w:val="Normal"/>
        <w:ind w:hanging="2"/>
        <w:rPr/>
      </w:pPr>
      <w:r>
        <w:rPr/>
      </w:r>
    </w:p>
    <w:tbl>
      <w:tblPr>
        <w:tblStyle w:val="affffff7"/>
        <w:tblW w:w="10354" w:type="dxa"/>
        <w:jc w:val="left"/>
        <w:tblInd w:w="-350" w:type="dxa"/>
        <w:tblLayout w:type="fixed"/>
        <w:tblCellMar>
          <w:top w:w="0" w:type="dxa"/>
          <w:left w:w="108" w:type="dxa"/>
          <w:bottom w:w="0" w:type="dxa"/>
          <w:right w:w="108" w:type="dxa"/>
        </w:tblCellMar>
        <w:tblLook w:val="0000" w:noHBand="0" w:noVBand="0" w:firstColumn="0" w:lastRow="0" w:lastColumn="0" w:firstRow="0"/>
      </w:tblPr>
      <w:tblGrid>
        <w:gridCol w:w="2479"/>
        <w:gridCol w:w="5251"/>
        <w:gridCol w:w="2624"/>
      </w:tblGrid>
      <w:tr>
        <w:trPr/>
        <w:tc>
          <w:tcPr>
            <w:tcW w:w="2479" w:type="dxa"/>
            <w:tcBorders>
              <w:top w:val="single" w:sz="4" w:space="0" w:color="000000"/>
              <w:left w:val="single" w:sz="4" w:space="0" w:color="000000"/>
              <w:bottom w:val="single" w:sz="4" w:space="0" w:color="000000"/>
            </w:tcBorders>
            <w:shd w:color="auto" w:fill="D9D9D9" w:val="clear"/>
            <w:vAlign w:val="center"/>
          </w:tcPr>
          <w:p>
            <w:pPr>
              <w:pStyle w:val="Normal"/>
              <w:keepNext w:val="true"/>
              <w:widowControl w:val="false"/>
              <w:pBdr/>
              <w:ind w:hanging="2"/>
              <w:jc w:val="center"/>
              <w:rPr>
                <w:b/>
                <w:b/>
                <w:color w:val="000000"/>
              </w:rPr>
            </w:pPr>
            <w:r>
              <w:rPr>
                <w:b/>
                <w:color w:val="000000"/>
              </w:rPr>
              <w:t>UD 1</w:t>
            </w:r>
          </w:p>
        </w:tc>
        <w:tc>
          <w:tcPr>
            <w:tcW w:w="5251" w:type="dxa"/>
            <w:tcBorders>
              <w:top w:val="single" w:sz="4" w:space="0" w:color="000000"/>
              <w:left w:val="single" w:sz="4" w:space="0" w:color="000000"/>
              <w:bottom w:val="single" w:sz="4" w:space="0" w:color="000000"/>
            </w:tcBorders>
            <w:shd w:color="auto" w:fill="D9D9D9" w:val="clear"/>
            <w:vAlign w:val="center"/>
          </w:tcPr>
          <w:p>
            <w:pPr>
              <w:pStyle w:val="Normal"/>
              <w:widowControl w:val="false"/>
              <w:ind w:hanging="2"/>
              <w:jc w:val="center"/>
              <w:rPr/>
            </w:pPr>
            <w:r>
              <w:rPr>
                <w:b/>
              </w:rPr>
              <w:t>La comunicación presencial en la empresa.</w:t>
            </w:r>
          </w:p>
          <w:p>
            <w:pPr>
              <w:pStyle w:val="Normal"/>
              <w:widowControl w:val="false"/>
              <w:ind w:hanging="2"/>
              <w:jc w:val="center"/>
              <w:rPr/>
            </w:pPr>
            <w:r>
              <w:rPr>
                <w:b/>
              </w:rPr>
              <w:t>Comunicación telefónica y telemática.</w:t>
            </w:r>
          </w:p>
        </w:tc>
        <w:tc>
          <w:tcPr>
            <w:tcW w:w="2624" w:type="dxa"/>
            <w:tcBorders>
              <w:top w:val="single" w:sz="4" w:space="0" w:color="000000"/>
              <w:left w:val="single" w:sz="4" w:space="0" w:color="000000"/>
              <w:bottom w:val="single" w:sz="4" w:space="0" w:color="000000"/>
              <w:right w:val="single" w:sz="4" w:space="0" w:color="000000"/>
            </w:tcBorders>
            <w:shd w:color="auto" w:fill="D9D9D9" w:val="clear"/>
            <w:vAlign w:val="center"/>
          </w:tcPr>
          <w:p>
            <w:pPr>
              <w:pStyle w:val="Normal"/>
              <w:keepNext w:val="true"/>
              <w:widowControl w:val="false"/>
              <w:pBdr/>
              <w:ind w:hanging="2"/>
              <w:jc w:val="center"/>
              <w:rPr>
                <w:b/>
                <w:b/>
                <w:color w:val="000000"/>
              </w:rPr>
            </w:pPr>
            <w:r>
              <w:rPr>
                <w:b/>
                <w:color w:val="000000"/>
              </w:rPr>
              <w:t>Nº de horas previstas</w:t>
            </w:r>
          </w:p>
          <w:p>
            <w:pPr>
              <w:pStyle w:val="Normal"/>
              <w:widowControl w:val="false"/>
              <w:ind w:hanging="2"/>
              <w:jc w:val="center"/>
              <w:rPr/>
            </w:pPr>
            <w:r>
              <w:rPr>
                <w:b/>
              </w:rPr>
              <w:t>25/25</w:t>
            </w:r>
          </w:p>
        </w:tc>
      </w:tr>
    </w:tbl>
    <w:p>
      <w:pPr>
        <w:pStyle w:val="Normal"/>
        <w:keepNext w:val="true"/>
        <w:pBdr/>
        <w:ind w:hanging="2"/>
        <w:jc w:val="both"/>
        <w:rPr>
          <w:color w:val="000000"/>
        </w:rPr>
      </w:pPr>
      <w:r>
        <w:rPr>
          <w:color w:val="000000"/>
        </w:rPr>
      </w:r>
    </w:p>
    <w:tbl>
      <w:tblPr>
        <w:tblStyle w:val="affffff8"/>
        <w:tblW w:w="10164" w:type="dxa"/>
        <w:jc w:val="left"/>
        <w:tblInd w:w="-312" w:type="dxa"/>
        <w:tblLayout w:type="fixed"/>
        <w:tblCellMar>
          <w:top w:w="0" w:type="dxa"/>
          <w:left w:w="108" w:type="dxa"/>
          <w:bottom w:w="0" w:type="dxa"/>
          <w:right w:w="108" w:type="dxa"/>
        </w:tblCellMar>
        <w:tblLook w:val="0000" w:noHBand="0" w:noVBand="0" w:firstColumn="0" w:lastRow="0" w:lastColumn="0" w:firstRow="0"/>
      </w:tblPr>
      <w:tblGrid>
        <w:gridCol w:w="10164"/>
      </w:tblGrid>
      <w:tr>
        <w:trPr>
          <w:trHeight w:val="11700" w:hRule="atLeast"/>
        </w:trPr>
        <w:tc>
          <w:tcPr>
            <w:tcW w:w="10164"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pBdr/>
              <w:ind w:hanging="2"/>
              <w:jc w:val="both"/>
              <w:rPr>
                <w:color w:val="000000"/>
              </w:rPr>
            </w:pPr>
            <w:r>
              <w:rPr>
                <w:color w:val="000000"/>
              </w:rPr>
            </w:r>
          </w:p>
          <w:p>
            <w:pPr>
              <w:pStyle w:val="Normal"/>
              <w:keepNext w:val="true"/>
              <w:widowControl w:val="false"/>
              <w:pBdr/>
              <w:ind w:hanging="2"/>
              <w:jc w:val="both"/>
              <w:rPr>
                <w:b/>
                <w:b/>
                <w:color w:val="000000"/>
                <w:u w:val="single"/>
              </w:rPr>
            </w:pPr>
            <w:r>
              <w:rPr>
                <w:b/>
                <w:color w:val="000000"/>
                <w:u w:val="single"/>
              </w:rPr>
              <w:t>Contenidos</w:t>
            </w:r>
            <w:r>
              <w:rPr>
                <w:b/>
                <w:color w:val="000000"/>
              </w:rPr>
              <w:t>:</w:t>
            </w:r>
          </w:p>
          <w:p>
            <w:pPr>
              <w:pStyle w:val="Normal"/>
              <w:widowControl w:val="false"/>
              <w:ind w:hanging="2"/>
              <w:rPr/>
            </w:pPr>
            <w:r>
              <w:rPr/>
            </w:r>
          </w:p>
          <w:p>
            <w:pPr>
              <w:pStyle w:val="Normal"/>
              <w:widowControl w:val="false"/>
              <w:numPr>
                <w:ilvl w:val="0"/>
                <w:numId w:val="20"/>
              </w:numPr>
              <w:ind w:left="0" w:hanging="2"/>
              <w:jc w:val="both"/>
              <w:rPr/>
            </w:pPr>
            <w:r>
              <w:rPr/>
              <w:t>La comunicación en la empresa.</w:t>
            </w:r>
          </w:p>
          <w:p>
            <w:pPr>
              <w:pStyle w:val="Normal"/>
              <w:widowControl w:val="false"/>
              <w:numPr>
                <w:ilvl w:val="0"/>
                <w:numId w:val="20"/>
              </w:numPr>
              <w:ind w:left="0" w:hanging="2"/>
              <w:jc w:val="both"/>
              <w:rPr/>
            </w:pPr>
            <w:r>
              <w:rPr/>
              <w:t>Tipos de comunicación en la empresa</w:t>
            </w:r>
          </w:p>
          <w:p>
            <w:pPr>
              <w:pStyle w:val="Normal"/>
              <w:widowControl w:val="false"/>
              <w:numPr>
                <w:ilvl w:val="0"/>
                <w:numId w:val="12"/>
              </w:numPr>
              <w:ind w:left="0" w:hanging="2"/>
              <w:jc w:val="both"/>
              <w:rPr/>
            </w:pPr>
            <w:r>
              <w:rPr/>
              <w:t>La comunicación presencial. Elementos que componen la comunicación oral presencial:</w:t>
            </w:r>
          </w:p>
          <w:p>
            <w:pPr>
              <w:pStyle w:val="Normal"/>
              <w:widowControl w:val="false"/>
              <w:numPr>
                <w:ilvl w:val="1"/>
                <w:numId w:val="12"/>
              </w:numPr>
              <w:ind w:left="0" w:hanging="2"/>
              <w:jc w:val="both"/>
              <w:rPr/>
            </w:pPr>
            <w:r>
              <w:rPr/>
              <w:t>Elementos visuales.</w:t>
            </w:r>
          </w:p>
          <w:p>
            <w:pPr>
              <w:pStyle w:val="Normal"/>
              <w:widowControl w:val="false"/>
              <w:numPr>
                <w:ilvl w:val="1"/>
                <w:numId w:val="12"/>
              </w:numPr>
              <w:ind w:left="0" w:hanging="2"/>
              <w:jc w:val="both"/>
              <w:rPr/>
            </w:pPr>
            <w:r>
              <w:rPr/>
              <w:t>Elementos vocales.</w:t>
            </w:r>
          </w:p>
          <w:p>
            <w:pPr>
              <w:pStyle w:val="Normal"/>
              <w:widowControl w:val="false"/>
              <w:numPr>
                <w:ilvl w:val="1"/>
                <w:numId w:val="12"/>
              </w:numPr>
              <w:ind w:left="0" w:hanging="2"/>
              <w:jc w:val="both"/>
              <w:rPr/>
            </w:pPr>
            <w:r>
              <w:rPr/>
              <w:t>Elementos verbales.</w:t>
            </w:r>
          </w:p>
          <w:p>
            <w:pPr>
              <w:pStyle w:val="Normal"/>
              <w:widowControl w:val="false"/>
              <w:numPr>
                <w:ilvl w:val="0"/>
                <w:numId w:val="20"/>
              </w:numPr>
              <w:ind w:left="0" w:hanging="2"/>
              <w:jc w:val="both"/>
              <w:rPr/>
            </w:pPr>
            <w:r>
              <w:rPr/>
              <w:t>Barreras de  la comunicación</w:t>
            </w:r>
          </w:p>
          <w:p>
            <w:pPr>
              <w:pStyle w:val="Normal"/>
              <w:widowControl w:val="false"/>
              <w:numPr>
                <w:ilvl w:val="0"/>
                <w:numId w:val="20"/>
              </w:numPr>
              <w:ind w:left="0" w:hanging="2"/>
              <w:jc w:val="both"/>
              <w:rPr/>
            </w:pPr>
            <w:r>
              <w:rPr/>
              <w:t>Técnicas de comunicación presencial.</w:t>
            </w:r>
          </w:p>
          <w:p>
            <w:pPr>
              <w:pStyle w:val="Normal"/>
              <w:widowControl w:val="false"/>
              <w:numPr>
                <w:ilvl w:val="0"/>
                <w:numId w:val="20"/>
              </w:numPr>
              <w:ind w:left="0" w:hanging="2"/>
              <w:jc w:val="both"/>
              <w:rPr/>
            </w:pPr>
            <w:r>
              <w:rPr/>
              <w:t>Las habilidades sociales</w:t>
            </w:r>
          </w:p>
          <w:p>
            <w:pPr>
              <w:pStyle w:val="Normal"/>
              <w:widowControl w:val="false"/>
              <w:numPr>
                <w:ilvl w:val="1"/>
                <w:numId w:val="20"/>
              </w:numPr>
              <w:pBdr/>
              <w:ind w:left="0" w:hanging="2"/>
              <w:jc w:val="both"/>
              <w:rPr/>
            </w:pPr>
            <w:r>
              <w:rPr>
                <w:color w:val="000000"/>
              </w:rPr>
              <w:t>Escucha activa</w:t>
            </w:r>
          </w:p>
          <w:p>
            <w:pPr>
              <w:pStyle w:val="Normal"/>
              <w:widowControl w:val="false"/>
              <w:numPr>
                <w:ilvl w:val="1"/>
                <w:numId w:val="20"/>
              </w:numPr>
              <w:pBdr/>
              <w:ind w:left="0" w:hanging="2"/>
              <w:jc w:val="both"/>
              <w:rPr/>
            </w:pPr>
            <w:r>
              <w:rPr>
                <w:color w:val="000000"/>
              </w:rPr>
              <w:t>Asertividad</w:t>
            </w:r>
          </w:p>
          <w:p>
            <w:pPr>
              <w:pStyle w:val="Normal"/>
              <w:widowControl w:val="false"/>
              <w:numPr>
                <w:ilvl w:val="1"/>
                <w:numId w:val="20"/>
              </w:numPr>
              <w:pBdr/>
              <w:ind w:left="0" w:hanging="2"/>
              <w:jc w:val="both"/>
              <w:rPr/>
            </w:pPr>
            <w:r>
              <w:rPr>
                <w:color w:val="000000"/>
              </w:rPr>
              <w:t>Empatía</w:t>
            </w:r>
          </w:p>
          <w:p>
            <w:pPr>
              <w:pStyle w:val="Normal"/>
              <w:widowControl w:val="false"/>
              <w:numPr>
                <w:ilvl w:val="1"/>
                <w:numId w:val="20"/>
              </w:numPr>
              <w:pBdr/>
              <w:ind w:left="0" w:hanging="2"/>
              <w:jc w:val="both"/>
              <w:rPr/>
            </w:pPr>
            <w:r>
              <w:rPr>
                <w:color w:val="000000"/>
              </w:rPr>
              <w:t>Emociones</w:t>
            </w:r>
          </w:p>
          <w:p>
            <w:pPr>
              <w:pStyle w:val="Normal"/>
              <w:widowControl w:val="false"/>
              <w:numPr>
                <w:ilvl w:val="0"/>
                <w:numId w:val="20"/>
              </w:numPr>
              <w:ind w:left="0" w:hanging="2"/>
              <w:jc w:val="both"/>
              <w:rPr/>
            </w:pPr>
            <w:r>
              <w:rPr/>
              <w:t>Situaciones habituales de la comunicación presencial.</w:t>
            </w:r>
          </w:p>
          <w:p>
            <w:pPr>
              <w:pStyle w:val="Normal"/>
              <w:widowControl w:val="false"/>
              <w:numPr>
                <w:ilvl w:val="0"/>
                <w:numId w:val="20"/>
              </w:numPr>
              <w:ind w:left="0" w:hanging="2"/>
              <w:jc w:val="both"/>
              <w:rPr/>
            </w:pPr>
            <w:r>
              <w:rPr/>
              <w:t>Comunicación no verbal</w:t>
            </w:r>
          </w:p>
          <w:p>
            <w:pPr>
              <w:pStyle w:val="Normal"/>
              <w:widowControl w:val="false"/>
              <w:numPr>
                <w:ilvl w:val="0"/>
                <w:numId w:val="20"/>
              </w:numPr>
              <w:ind w:left="0" w:hanging="2"/>
              <w:jc w:val="both"/>
              <w:rPr/>
            </w:pPr>
            <w:r>
              <w:rPr/>
              <w:t>Formas de comunicación oral presencial.</w:t>
            </w:r>
          </w:p>
          <w:p>
            <w:pPr>
              <w:pStyle w:val="Normal"/>
              <w:widowControl w:val="false"/>
              <w:numPr>
                <w:ilvl w:val="1"/>
                <w:numId w:val="20"/>
              </w:numPr>
              <w:ind w:left="0" w:hanging="2"/>
              <w:jc w:val="both"/>
              <w:rPr/>
            </w:pPr>
            <w:r>
              <w:rPr/>
              <w:t>Formas de participación oral individual.</w:t>
            </w:r>
          </w:p>
          <w:p>
            <w:pPr>
              <w:pStyle w:val="Normal"/>
              <w:widowControl w:val="false"/>
              <w:numPr>
                <w:ilvl w:val="2"/>
                <w:numId w:val="20"/>
              </w:numPr>
              <w:ind w:left="0" w:hanging="2"/>
              <w:jc w:val="both"/>
              <w:rPr/>
            </w:pPr>
            <w:r>
              <w:rPr/>
              <w:t>Realización de entrevistas. Fases</w:t>
            </w:r>
          </w:p>
          <w:p>
            <w:pPr>
              <w:pStyle w:val="Normal"/>
              <w:widowControl w:val="false"/>
              <w:numPr>
                <w:ilvl w:val="2"/>
                <w:numId w:val="20"/>
              </w:numPr>
              <w:ind w:left="0" w:hanging="2"/>
              <w:jc w:val="both"/>
              <w:rPr/>
            </w:pPr>
            <w:r>
              <w:rPr/>
              <w:t>Realización de presentaciones</w:t>
            </w:r>
          </w:p>
          <w:p>
            <w:pPr>
              <w:pStyle w:val="Normal"/>
              <w:widowControl w:val="false"/>
              <w:numPr>
                <w:ilvl w:val="1"/>
                <w:numId w:val="20"/>
              </w:numPr>
              <w:ind w:left="0" w:hanging="2"/>
              <w:jc w:val="both"/>
              <w:rPr/>
            </w:pPr>
            <w:r>
              <w:rPr/>
              <w:t>Formas de participación oral colectiva.</w:t>
            </w:r>
          </w:p>
          <w:p>
            <w:pPr>
              <w:pStyle w:val="Normal"/>
              <w:widowControl w:val="false"/>
              <w:numPr>
                <w:ilvl w:val="0"/>
                <w:numId w:val="20"/>
              </w:numPr>
              <w:ind w:left="0" w:hanging="2"/>
              <w:jc w:val="both"/>
              <w:rPr/>
            </w:pPr>
            <w:r>
              <w:rPr/>
              <w:t>Protocolo, formas de actuación y costumbres.</w:t>
            </w:r>
          </w:p>
          <w:p>
            <w:pPr>
              <w:pStyle w:val="Normal"/>
              <w:widowControl w:val="false"/>
              <w:numPr>
                <w:ilvl w:val="0"/>
                <w:numId w:val="20"/>
              </w:numPr>
              <w:ind w:left="0" w:hanging="2"/>
              <w:jc w:val="both"/>
              <w:rPr/>
            </w:pPr>
            <w:r>
              <w:rPr/>
              <w:t>Recepción de visitas</w:t>
            </w:r>
          </w:p>
          <w:p>
            <w:pPr>
              <w:pStyle w:val="Normal"/>
              <w:widowControl w:val="false"/>
              <w:numPr>
                <w:ilvl w:val="0"/>
                <w:numId w:val="20"/>
              </w:numPr>
              <w:ind w:left="0" w:hanging="2"/>
              <w:jc w:val="both"/>
              <w:rPr/>
            </w:pPr>
            <w:r>
              <w:rPr/>
              <w:t>El proceso de comunicación telefónica.</w:t>
            </w:r>
          </w:p>
          <w:p>
            <w:pPr>
              <w:pStyle w:val="Normal"/>
              <w:widowControl w:val="false"/>
              <w:numPr>
                <w:ilvl w:val="1"/>
                <w:numId w:val="20"/>
              </w:numPr>
              <w:ind w:left="0" w:hanging="2"/>
              <w:jc w:val="both"/>
              <w:rPr/>
            </w:pPr>
            <w:r>
              <w:rPr/>
              <w:t>Elementos de la comunicación telefónica.</w:t>
            </w:r>
          </w:p>
          <w:p>
            <w:pPr>
              <w:pStyle w:val="Normal"/>
              <w:widowControl w:val="false"/>
              <w:numPr>
                <w:ilvl w:val="1"/>
                <w:numId w:val="20"/>
              </w:numPr>
              <w:ind w:left="0" w:hanging="2"/>
              <w:jc w:val="both"/>
              <w:rPr/>
            </w:pPr>
            <w:r>
              <w:rPr/>
              <w:t>Etapas de una llamada telefónica.</w:t>
            </w:r>
          </w:p>
          <w:p>
            <w:pPr>
              <w:pStyle w:val="Normal"/>
              <w:widowControl w:val="false"/>
              <w:numPr>
                <w:ilvl w:val="0"/>
                <w:numId w:val="20"/>
              </w:numPr>
              <w:pBdr/>
              <w:ind w:left="0" w:hanging="2"/>
              <w:jc w:val="both"/>
              <w:rPr/>
            </w:pPr>
            <w:r>
              <w:rPr>
                <w:color w:val="000000"/>
              </w:rPr>
              <w:t>Equipos y prestaciones para la comunicación telefónica</w:t>
            </w:r>
          </w:p>
          <w:p>
            <w:pPr>
              <w:pStyle w:val="Normal"/>
              <w:widowControl w:val="false"/>
              <w:numPr>
                <w:ilvl w:val="0"/>
                <w:numId w:val="20"/>
              </w:numPr>
              <w:ind w:left="0" w:hanging="2"/>
              <w:jc w:val="both"/>
              <w:rPr/>
            </w:pPr>
            <w:r>
              <w:rPr/>
              <w:t>Pautas de comunicación telefónica.</w:t>
            </w:r>
          </w:p>
          <w:p>
            <w:pPr>
              <w:pStyle w:val="Normal"/>
              <w:widowControl w:val="false"/>
              <w:numPr>
                <w:ilvl w:val="0"/>
                <w:numId w:val="20"/>
              </w:numPr>
              <w:ind w:left="0" w:hanging="2"/>
              <w:jc w:val="both"/>
              <w:rPr/>
            </w:pPr>
            <w:r>
              <w:rPr/>
              <w:t>Objetivos y clasificación de las llamadas telefónicas</w:t>
            </w:r>
          </w:p>
          <w:p>
            <w:pPr>
              <w:pStyle w:val="Normal"/>
              <w:widowControl w:val="false"/>
              <w:numPr>
                <w:ilvl w:val="0"/>
                <w:numId w:val="20"/>
              </w:numPr>
              <w:ind w:left="0" w:hanging="2"/>
              <w:jc w:val="both"/>
              <w:rPr/>
            </w:pPr>
            <w:r>
              <w:rPr/>
              <w:t>Barreras y dificultades en la comunicación telefónica</w:t>
            </w:r>
          </w:p>
          <w:p>
            <w:pPr>
              <w:pStyle w:val="Normal"/>
              <w:widowControl w:val="false"/>
              <w:numPr>
                <w:ilvl w:val="0"/>
                <w:numId w:val="20"/>
              </w:numPr>
              <w:ind w:left="0" w:hanging="2"/>
              <w:jc w:val="both"/>
              <w:rPr/>
            </w:pPr>
            <w:r>
              <w:rPr/>
              <w:t>Gestión de las comunicaciones telefónicas en la empresa</w:t>
            </w:r>
          </w:p>
          <w:p>
            <w:pPr>
              <w:pStyle w:val="Normal"/>
              <w:widowControl w:val="false"/>
              <w:numPr>
                <w:ilvl w:val="0"/>
                <w:numId w:val="20"/>
              </w:numPr>
              <w:ind w:left="0" w:hanging="2"/>
              <w:jc w:val="both"/>
              <w:rPr/>
            </w:pPr>
            <w:r>
              <w:rPr/>
              <w:t>Manejo de las centralitas telefónicas</w:t>
            </w:r>
          </w:p>
          <w:p>
            <w:pPr>
              <w:pStyle w:val="Normal"/>
              <w:widowControl w:val="false"/>
              <w:numPr>
                <w:ilvl w:val="0"/>
                <w:numId w:val="20"/>
              </w:numPr>
              <w:ind w:left="0" w:hanging="2"/>
              <w:jc w:val="both"/>
              <w:rPr/>
            </w:pPr>
            <w:r>
              <w:rPr/>
              <w:t>Atención de quejas telefónicas</w:t>
            </w:r>
          </w:p>
          <w:p>
            <w:pPr>
              <w:pStyle w:val="Normal"/>
              <w:widowControl w:val="false"/>
              <w:numPr>
                <w:ilvl w:val="0"/>
                <w:numId w:val="20"/>
              </w:numPr>
              <w:ind w:left="0" w:hanging="2"/>
              <w:jc w:val="both"/>
              <w:rPr/>
            </w:pPr>
            <w:r>
              <w:rPr/>
              <w:t>Clientes difíciles y situaciones especiales al teléfono.</w:t>
            </w:r>
          </w:p>
          <w:p>
            <w:pPr>
              <w:pStyle w:val="Normal"/>
              <w:widowControl w:val="false"/>
              <w:numPr>
                <w:ilvl w:val="0"/>
                <w:numId w:val="20"/>
              </w:numPr>
              <w:ind w:left="0" w:hanging="2"/>
              <w:jc w:val="both"/>
              <w:rPr/>
            </w:pPr>
            <w:r>
              <w:rPr/>
              <w:t>Videoconferencia.</w:t>
            </w:r>
          </w:p>
          <w:p>
            <w:pPr>
              <w:pStyle w:val="Normal"/>
              <w:widowControl w:val="false"/>
              <w:numPr>
                <w:ilvl w:val="1"/>
                <w:numId w:val="20"/>
              </w:numPr>
              <w:ind w:left="0" w:hanging="2"/>
              <w:jc w:val="both"/>
              <w:rPr/>
            </w:pPr>
            <w:r>
              <w:rPr/>
              <w:t>Elementos o dispositivos técnicos para poder realizar una videoconferencia.</w:t>
            </w:r>
          </w:p>
          <w:p>
            <w:pPr>
              <w:pStyle w:val="Normal"/>
              <w:widowControl w:val="false"/>
              <w:numPr>
                <w:ilvl w:val="1"/>
                <w:numId w:val="20"/>
              </w:numPr>
              <w:ind w:left="0" w:hanging="2"/>
              <w:jc w:val="both"/>
              <w:rPr/>
            </w:pPr>
            <w:r>
              <w:rPr/>
              <w:t>Técnicas de transmisión de la imagen corporativa en las comunicaciones telemáticas.</w:t>
            </w:r>
          </w:p>
          <w:p>
            <w:pPr>
              <w:pStyle w:val="Normal"/>
              <w:widowControl w:val="false"/>
              <w:numPr>
                <w:ilvl w:val="1"/>
                <w:numId w:val="20"/>
              </w:numPr>
              <w:ind w:left="0" w:hanging="2"/>
              <w:jc w:val="both"/>
              <w:rPr/>
            </w:pPr>
            <w:r>
              <w:rPr/>
              <w:t>Skype.</w:t>
            </w:r>
          </w:p>
          <w:p>
            <w:pPr>
              <w:pStyle w:val="Normal"/>
              <w:widowControl w:val="false"/>
              <w:numPr>
                <w:ilvl w:val="1"/>
                <w:numId w:val="20"/>
              </w:numPr>
              <w:ind w:left="0" w:hanging="2"/>
              <w:jc w:val="both"/>
              <w:rPr/>
            </w:pPr>
            <w:r>
              <w:rPr/>
              <w:t>Webinario.</w:t>
            </w:r>
          </w:p>
        </w:tc>
      </w:tr>
    </w:tbl>
    <w:p>
      <w:pPr>
        <w:pStyle w:val="Normal"/>
        <w:ind w:hanging="2"/>
        <w:jc w:val="both"/>
        <w:rPr/>
      </w:pPr>
      <w:r>
        <w:rPr/>
      </w:r>
    </w:p>
    <w:p>
      <w:pPr>
        <w:pStyle w:val="Normal"/>
        <w:ind w:hanging="2"/>
        <w:rPr>
          <w:u w:val="single"/>
        </w:rPr>
      </w:pPr>
      <w:r>
        <w:rPr>
          <w:u w:val="single"/>
        </w:rPr>
      </w:r>
    </w:p>
    <w:tbl>
      <w:tblPr>
        <w:tblStyle w:val="affffff9"/>
        <w:tblW w:w="10158" w:type="dxa"/>
        <w:jc w:val="left"/>
        <w:tblInd w:w="-355" w:type="dxa"/>
        <w:tblLayout w:type="fixed"/>
        <w:tblCellMar>
          <w:top w:w="0" w:type="dxa"/>
          <w:left w:w="108" w:type="dxa"/>
          <w:bottom w:w="0" w:type="dxa"/>
          <w:right w:w="108" w:type="dxa"/>
        </w:tblCellMar>
        <w:tblLook w:val="0000" w:noHBand="0" w:noVBand="0" w:firstColumn="0" w:lastRow="0" w:lastColumn="0" w:firstRow="0"/>
      </w:tblPr>
      <w:tblGrid>
        <w:gridCol w:w="3946"/>
        <w:gridCol w:w="3945"/>
        <w:gridCol w:w="1681"/>
        <w:gridCol w:w="585"/>
      </w:tblGrid>
      <w:tr>
        <w:trPr/>
        <w:tc>
          <w:tcPr>
            <w:tcW w:w="3946" w:type="dxa"/>
            <w:tcBorders>
              <w:top w:val="single" w:sz="4" w:space="0" w:color="000000"/>
              <w:left w:val="single" w:sz="4" w:space="0" w:color="000000"/>
              <w:bottom w:val="single" w:sz="4" w:space="0" w:color="000000"/>
            </w:tcBorders>
            <w:vAlign w:val="center"/>
          </w:tcPr>
          <w:p>
            <w:pPr>
              <w:pStyle w:val="Normal"/>
              <w:keepNext w:val="true"/>
              <w:widowControl w:val="false"/>
              <w:pBdr/>
              <w:ind w:hanging="2"/>
              <w:jc w:val="center"/>
              <w:rPr>
                <w:b/>
                <w:b/>
                <w:color w:val="000000"/>
                <w:sz w:val="22"/>
                <w:szCs w:val="22"/>
                <w:u w:val="single"/>
              </w:rPr>
            </w:pPr>
            <w:r>
              <w:rPr>
                <w:b/>
                <w:color w:val="000000"/>
                <w:sz w:val="22"/>
                <w:szCs w:val="22"/>
                <w:u w:val="single"/>
              </w:rPr>
              <w:t>Actividades concretas a realizar</w:t>
            </w:r>
          </w:p>
        </w:tc>
        <w:tc>
          <w:tcPr>
            <w:tcW w:w="3945" w:type="dxa"/>
            <w:tcBorders>
              <w:top w:val="single" w:sz="4" w:space="0" w:color="000000"/>
              <w:left w:val="single" w:sz="4" w:space="0" w:color="000000"/>
              <w:bottom w:val="single" w:sz="4" w:space="0" w:color="000000"/>
            </w:tcBorders>
            <w:vAlign w:val="center"/>
          </w:tcPr>
          <w:p>
            <w:pPr>
              <w:pStyle w:val="Normal"/>
              <w:keepNext w:val="true"/>
              <w:widowControl w:val="false"/>
              <w:pBdr/>
              <w:ind w:hanging="2"/>
              <w:jc w:val="center"/>
              <w:rPr>
                <w:b/>
                <w:b/>
                <w:color w:val="000000"/>
                <w:sz w:val="22"/>
                <w:szCs w:val="22"/>
                <w:u w:val="single"/>
              </w:rPr>
            </w:pPr>
            <w:r>
              <w:rPr>
                <w:b/>
                <w:color w:val="000000"/>
                <w:sz w:val="22"/>
                <w:szCs w:val="22"/>
                <w:u w:val="single"/>
              </w:rPr>
              <w:t>Objetivos</w:t>
            </w:r>
          </w:p>
          <w:p>
            <w:pPr>
              <w:pStyle w:val="Normal"/>
              <w:keepNext w:val="true"/>
              <w:widowControl w:val="false"/>
              <w:pBdr/>
              <w:ind w:hanging="2"/>
              <w:jc w:val="center"/>
              <w:rPr>
                <w:b/>
                <w:b/>
                <w:color w:val="000000"/>
                <w:sz w:val="22"/>
                <w:szCs w:val="22"/>
                <w:u w:val="single"/>
              </w:rPr>
            </w:pPr>
            <w:r>
              <w:rPr>
                <w:b/>
                <w:color w:val="000000"/>
                <w:sz w:val="22"/>
                <w:szCs w:val="22"/>
                <w:u w:val="single"/>
              </w:rPr>
              <w:t>Generales</w:t>
            </w:r>
          </w:p>
          <w:p>
            <w:pPr>
              <w:pStyle w:val="Normal"/>
              <w:keepNext w:val="true"/>
              <w:widowControl w:val="false"/>
              <w:pBdr/>
              <w:ind w:hanging="2"/>
              <w:jc w:val="center"/>
              <w:rPr>
                <w:b/>
                <w:b/>
                <w:color w:val="000000"/>
                <w:sz w:val="22"/>
                <w:szCs w:val="22"/>
                <w:u w:val="single"/>
              </w:rPr>
            </w:pPr>
            <w:r>
              <w:rPr>
                <w:b/>
                <w:color w:val="000000"/>
                <w:sz w:val="22"/>
                <w:szCs w:val="22"/>
                <w:u w:val="single"/>
              </w:rPr>
              <w:t>Trabajados</w:t>
            </w:r>
          </w:p>
        </w:tc>
        <w:tc>
          <w:tcPr>
            <w:tcW w:w="2266" w:type="dxa"/>
            <w:gridSpan w:val="2"/>
            <w:tcBorders>
              <w:top w:val="single" w:sz="4" w:space="0" w:color="000000"/>
              <w:left w:val="single" w:sz="4" w:space="0" w:color="000000"/>
              <w:bottom w:val="single" w:sz="4" w:space="0" w:color="000000"/>
              <w:right w:val="single" w:sz="4" w:space="0" w:color="000000"/>
            </w:tcBorders>
            <w:vAlign w:val="center"/>
          </w:tcPr>
          <w:p>
            <w:pPr>
              <w:pStyle w:val="Normal"/>
              <w:keepNext w:val="true"/>
              <w:widowControl w:val="false"/>
              <w:pBdr/>
              <w:ind w:hanging="2"/>
              <w:jc w:val="center"/>
              <w:rPr>
                <w:b/>
                <w:b/>
                <w:color w:val="000000"/>
                <w:sz w:val="22"/>
                <w:szCs w:val="22"/>
                <w:u w:val="single"/>
              </w:rPr>
            </w:pPr>
            <w:r>
              <w:rPr>
                <w:b/>
                <w:color w:val="000000"/>
                <w:sz w:val="22"/>
                <w:szCs w:val="22"/>
                <w:u w:val="single"/>
              </w:rPr>
              <w:t>Competen-cias Asociadas</w:t>
            </w:r>
          </w:p>
        </w:tc>
      </w:tr>
      <w:tr>
        <w:trPr/>
        <w:tc>
          <w:tcPr>
            <w:tcW w:w="3946" w:type="dxa"/>
            <w:tcBorders>
              <w:top w:val="single" w:sz="4" w:space="0" w:color="000000"/>
              <w:left w:val="single" w:sz="4" w:space="0" w:color="000000"/>
              <w:bottom w:val="single" w:sz="4" w:space="0" w:color="000000"/>
            </w:tcBorders>
          </w:tcPr>
          <w:p>
            <w:pPr>
              <w:pStyle w:val="Normal"/>
              <w:widowControl w:val="false"/>
              <w:numPr>
                <w:ilvl w:val="0"/>
                <w:numId w:val="6"/>
              </w:numPr>
              <w:pBdr/>
              <w:ind w:left="0" w:hanging="2"/>
              <w:jc w:val="both"/>
              <w:rPr>
                <w:color w:val="000000"/>
                <w:sz w:val="22"/>
                <w:szCs w:val="22"/>
              </w:rPr>
            </w:pPr>
            <w:r>
              <w:rPr>
                <w:color w:val="000000"/>
                <w:sz w:val="22"/>
                <w:szCs w:val="22"/>
              </w:rPr>
              <w:t>Lluvia de ideas para detectar del nivel del alumnado. Explicación de contenido.</w:t>
            </w:r>
          </w:p>
          <w:p>
            <w:pPr>
              <w:pStyle w:val="Normal"/>
              <w:widowControl w:val="false"/>
              <w:numPr>
                <w:ilvl w:val="0"/>
                <w:numId w:val="6"/>
              </w:numPr>
              <w:pBdr/>
              <w:ind w:left="0" w:hanging="2"/>
              <w:jc w:val="both"/>
              <w:rPr>
                <w:color w:val="000000"/>
                <w:sz w:val="22"/>
                <w:szCs w:val="22"/>
              </w:rPr>
            </w:pPr>
            <w:r>
              <w:rPr>
                <w:color w:val="000000"/>
                <w:sz w:val="22"/>
                <w:szCs w:val="22"/>
              </w:rPr>
              <w:t>Resolución por parte del alumnado de una serie de ejercicios relacionados con el tema como: diferenciar mediante ejemplos comunicación de información, identificar en situaciones reales los elementos y etapas de la comunicación, practicar la comunicación efectiva, reflexión sobre las barreras y errores de comunicación y cómo superarlas.</w:t>
            </w:r>
          </w:p>
          <w:p>
            <w:pPr>
              <w:pStyle w:val="Normal"/>
              <w:widowControl w:val="false"/>
              <w:numPr>
                <w:ilvl w:val="0"/>
                <w:numId w:val="6"/>
              </w:numPr>
              <w:pBdr/>
              <w:ind w:left="0" w:hanging="2"/>
              <w:jc w:val="both"/>
              <w:rPr>
                <w:color w:val="000000"/>
                <w:sz w:val="22"/>
                <w:szCs w:val="22"/>
              </w:rPr>
            </w:pPr>
            <w:r>
              <w:rPr>
                <w:color w:val="000000"/>
                <w:sz w:val="22"/>
                <w:szCs w:val="22"/>
              </w:rPr>
              <w:t>Lectura del texto “Asertividad” de Jorge Bucay.</w:t>
            </w:r>
          </w:p>
          <w:p>
            <w:pPr>
              <w:pStyle w:val="Normal"/>
              <w:widowControl w:val="false"/>
              <w:numPr>
                <w:ilvl w:val="0"/>
                <w:numId w:val="6"/>
              </w:numPr>
              <w:pBdr/>
              <w:ind w:left="0" w:hanging="2"/>
              <w:jc w:val="both"/>
              <w:rPr>
                <w:color w:val="000000"/>
                <w:sz w:val="22"/>
                <w:szCs w:val="22"/>
              </w:rPr>
            </w:pPr>
            <w:r>
              <w:rPr>
                <w:color w:val="000000"/>
                <w:sz w:val="22"/>
                <w:szCs w:val="22"/>
              </w:rPr>
              <w:t>Reflexión sobre “escucha activa” y “empatía”.</w:t>
            </w:r>
          </w:p>
          <w:p>
            <w:pPr>
              <w:pStyle w:val="Normal"/>
              <w:widowControl w:val="false"/>
              <w:numPr>
                <w:ilvl w:val="0"/>
                <w:numId w:val="6"/>
              </w:numPr>
              <w:pBdr/>
              <w:ind w:left="0" w:hanging="2"/>
              <w:jc w:val="both"/>
              <w:rPr>
                <w:color w:val="000000"/>
                <w:sz w:val="22"/>
                <w:szCs w:val="22"/>
              </w:rPr>
            </w:pPr>
            <w:r>
              <w:rPr>
                <w:color w:val="000000"/>
                <w:sz w:val="22"/>
                <w:szCs w:val="22"/>
              </w:rPr>
              <w:t xml:space="preserve">Actividades escritas y de reflexión sobre la lectura del libro “Emociones Expresadas Emociones Superadas” de Ciara Molina </w:t>
            </w:r>
            <w:r>
              <w:rPr>
                <w:color w:val="000000"/>
                <w:sz w:val="18"/>
                <w:szCs w:val="18"/>
              </w:rPr>
              <w:t>:</w:t>
            </w:r>
          </w:p>
          <w:p>
            <w:pPr>
              <w:pStyle w:val="Normal"/>
              <w:widowControl w:val="false"/>
              <w:ind w:left="499" w:right="672" w:hanging="0"/>
              <w:jc w:val="both"/>
              <w:rPr>
                <w:sz w:val="18"/>
                <w:szCs w:val="18"/>
              </w:rPr>
            </w:pPr>
            <w:r>
              <w:rPr>
                <w:sz w:val="18"/>
                <w:szCs w:val="18"/>
              </w:rPr>
              <w:t xml:space="preserve"> </w:t>
            </w:r>
            <w:r>
              <w:rPr/>
              <w:t>Para trabajar las barreras de comunicación de tipo INTERPERSONAL se trabajarán las EMOCIONES  para que el alumnado sepa identificar su estado emocional ( y el de sus interlocutores) y mejorar su empatía, asertividad y escucha activa, habilidades sociales imprescindibles para una buena comunicación. Lectura de “El caballero de la armadura oxidada” y “Comunicación no violenta” con sus correspondientes pruebas tipo examen.</w:t>
            </w:r>
          </w:p>
          <w:p>
            <w:pPr>
              <w:pStyle w:val="Normal"/>
              <w:widowControl w:val="false"/>
              <w:numPr>
                <w:ilvl w:val="0"/>
                <w:numId w:val="6"/>
              </w:numPr>
              <w:pBdr/>
              <w:ind w:left="0" w:hanging="2"/>
              <w:jc w:val="both"/>
              <w:rPr>
                <w:color w:val="000000"/>
                <w:sz w:val="22"/>
                <w:szCs w:val="22"/>
              </w:rPr>
            </w:pPr>
            <w:r>
              <w:rPr>
                <w:color w:val="000000"/>
                <w:sz w:val="22"/>
                <w:szCs w:val="22"/>
              </w:rPr>
              <w:t>Identificación de barreras de comunicación en  viñetas, secuencia de películas y algunos vídeos.</w:t>
            </w:r>
          </w:p>
          <w:p>
            <w:pPr>
              <w:pStyle w:val="Normal"/>
              <w:widowControl w:val="false"/>
              <w:numPr>
                <w:ilvl w:val="0"/>
                <w:numId w:val="6"/>
              </w:numPr>
              <w:pBdr/>
              <w:ind w:left="0" w:hanging="2"/>
              <w:jc w:val="both"/>
              <w:rPr>
                <w:color w:val="000000"/>
                <w:sz w:val="22"/>
                <w:szCs w:val="22"/>
              </w:rPr>
            </w:pPr>
            <w:r>
              <w:rPr>
                <w:color w:val="000000"/>
                <w:sz w:val="22"/>
                <w:szCs w:val="22"/>
              </w:rPr>
              <w:t>Actividades del libro de texto.</w:t>
            </w:r>
          </w:p>
          <w:p>
            <w:pPr>
              <w:pStyle w:val="Normal"/>
              <w:widowControl w:val="false"/>
              <w:numPr>
                <w:ilvl w:val="0"/>
                <w:numId w:val="6"/>
              </w:numPr>
              <w:pBdr/>
              <w:ind w:left="0" w:hanging="2"/>
              <w:jc w:val="both"/>
              <w:rPr>
                <w:color w:val="000000"/>
                <w:sz w:val="22"/>
                <w:szCs w:val="22"/>
              </w:rPr>
            </w:pPr>
            <w:r>
              <w:rPr>
                <w:color w:val="000000"/>
                <w:sz w:val="22"/>
                <w:szCs w:val="22"/>
              </w:rPr>
              <w:t>Reflexión sobre el miedo a hablar en público.</w:t>
            </w:r>
          </w:p>
          <w:p>
            <w:pPr>
              <w:pStyle w:val="Normal"/>
              <w:widowControl w:val="false"/>
              <w:numPr>
                <w:ilvl w:val="0"/>
                <w:numId w:val="6"/>
              </w:numPr>
              <w:pBdr/>
              <w:ind w:left="0" w:hanging="2"/>
              <w:jc w:val="both"/>
              <w:rPr>
                <w:color w:val="000000"/>
                <w:sz w:val="22"/>
                <w:szCs w:val="22"/>
              </w:rPr>
            </w:pPr>
            <w:r>
              <w:rPr>
                <w:color w:val="000000"/>
                <w:sz w:val="22"/>
                <w:szCs w:val="22"/>
              </w:rPr>
              <w:t>Técnicas para vencer el miedo a hablar en público.</w:t>
            </w:r>
          </w:p>
          <w:p>
            <w:pPr>
              <w:pStyle w:val="Normal"/>
              <w:widowControl w:val="false"/>
              <w:numPr>
                <w:ilvl w:val="0"/>
                <w:numId w:val="6"/>
              </w:numPr>
              <w:pBdr/>
              <w:ind w:left="0" w:hanging="2"/>
              <w:jc w:val="both"/>
              <w:rPr>
                <w:color w:val="000000"/>
                <w:sz w:val="22"/>
                <w:szCs w:val="22"/>
              </w:rPr>
            </w:pPr>
            <w:r>
              <w:rPr>
                <w:color w:val="000000"/>
                <w:sz w:val="22"/>
                <w:szCs w:val="22"/>
              </w:rPr>
              <w:t>Practicar habilidades sociales propias de la comunicación oral.</w:t>
            </w:r>
          </w:p>
          <w:p>
            <w:pPr>
              <w:pStyle w:val="Normal"/>
              <w:widowControl w:val="false"/>
              <w:numPr>
                <w:ilvl w:val="0"/>
                <w:numId w:val="6"/>
              </w:numPr>
              <w:pBdr/>
              <w:ind w:left="0" w:hanging="2"/>
              <w:jc w:val="both"/>
              <w:rPr>
                <w:color w:val="000000"/>
                <w:sz w:val="22"/>
                <w:szCs w:val="22"/>
              </w:rPr>
            </w:pPr>
            <w:r>
              <w:rPr>
                <w:color w:val="000000"/>
                <w:sz w:val="22"/>
                <w:szCs w:val="22"/>
              </w:rPr>
              <w:t>Realización de ejercicios de respiración para prevenir el nerviosismo y estrés. Meditación y sus beneficios.</w:t>
            </w:r>
          </w:p>
          <w:p>
            <w:pPr>
              <w:pStyle w:val="Normal"/>
              <w:widowControl w:val="false"/>
              <w:numPr>
                <w:ilvl w:val="0"/>
                <w:numId w:val="6"/>
              </w:numPr>
              <w:pBdr/>
              <w:ind w:left="0" w:hanging="2"/>
              <w:jc w:val="both"/>
              <w:rPr>
                <w:color w:val="000000"/>
                <w:sz w:val="22"/>
                <w:szCs w:val="22"/>
              </w:rPr>
            </w:pPr>
            <w:r>
              <w:rPr>
                <w:color w:val="000000"/>
                <w:sz w:val="22"/>
                <w:szCs w:val="22"/>
              </w:rPr>
              <w:t>Visionado de videos sobre la percepción selectiva, comunicación no verbal y exposiciones orales ejemplares.</w:t>
            </w:r>
          </w:p>
          <w:p>
            <w:pPr>
              <w:pStyle w:val="Normal"/>
              <w:widowControl w:val="false"/>
              <w:numPr>
                <w:ilvl w:val="0"/>
                <w:numId w:val="6"/>
              </w:numPr>
              <w:pBdr/>
              <w:ind w:left="0" w:hanging="2"/>
              <w:jc w:val="both"/>
              <w:rPr>
                <w:color w:val="000000"/>
                <w:sz w:val="22"/>
                <w:szCs w:val="22"/>
              </w:rPr>
            </w:pPr>
            <w:r>
              <w:rPr>
                <w:color w:val="000000"/>
                <w:sz w:val="22"/>
                <w:szCs w:val="22"/>
              </w:rPr>
              <w:t>Exposiciones orales por parte del alumnado.</w:t>
            </w:r>
          </w:p>
          <w:p>
            <w:pPr>
              <w:pStyle w:val="Normal"/>
              <w:widowControl w:val="false"/>
              <w:numPr>
                <w:ilvl w:val="0"/>
                <w:numId w:val="6"/>
              </w:numPr>
              <w:pBdr/>
              <w:ind w:left="0" w:hanging="2"/>
              <w:jc w:val="both"/>
              <w:rPr>
                <w:color w:val="000000"/>
                <w:sz w:val="22"/>
                <w:szCs w:val="22"/>
              </w:rPr>
            </w:pPr>
            <w:r>
              <w:rPr>
                <w:color w:val="000000"/>
                <w:sz w:val="22"/>
                <w:szCs w:val="22"/>
              </w:rPr>
              <w:t>Búsqueda de información y análisis de las costumbres socioculturales y los usos empresariales.</w:t>
            </w:r>
          </w:p>
          <w:p>
            <w:pPr>
              <w:pStyle w:val="Normal"/>
              <w:widowControl w:val="false"/>
              <w:numPr>
                <w:ilvl w:val="0"/>
                <w:numId w:val="6"/>
              </w:numPr>
              <w:pBdr/>
              <w:ind w:left="0" w:hanging="2"/>
              <w:jc w:val="both"/>
              <w:rPr>
                <w:color w:val="000000"/>
                <w:sz w:val="22"/>
                <w:szCs w:val="22"/>
              </w:rPr>
            </w:pPr>
            <w:r>
              <w:rPr>
                <w:color w:val="000000"/>
                <w:sz w:val="22"/>
                <w:szCs w:val="22"/>
              </w:rPr>
              <w:t>Visionado de vídeos sobre “Técnicas para hablar en público, imagen personal y lenguaje no verbal” de Teresa Baró y otros.</w:t>
            </w:r>
          </w:p>
          <w:p>
            <w:pPr>
              <w:pStyle w:val="Normal"/>
              <w:widowControl w:val="false"/>
              <w:numPr>
                <w:ilvl w:val="0"/>
                <w:numId w:val="6"/>
              </w:numPr>
              <w:pBdr/>
              <w:ind w:left="0" w:hanging="2"/>
              <w:jc w:val="both"/>
              <w:rPr>
                <w:color w:val="000000"/>
                <w:sz w:val="22"/>
                <w:szCs w:val="22"/>
              </w:rPr>
            </w:pPr>
            <w:r>
              <w:rPr>
                <w:color w:val="000000"/>
                <w:sz w:val="22"/>
                <w:szCs w:val="22"/>
              </w:rPr>
              <w:t>Role-play</w:t>
            </w:r>
          </w:p>
          <w:p>
            <w:pPr>
              <w:pStyle w:val="Normal"/>
              <w:widowControl w:val="false"/>
              <w:numPr>
                <w:ilvl w:val="0"/>
                <w:numId w:val="6"/>
              </w:numPr>
              <w:pBdr/>
              <w:ind w:left="0" w:hanging="2"/>
              <w:jc w:val="both"/>
              <w:rPr>
                <w:color w:val="000000"/>
                <w:sz w:val="22"/>
                <w:szCs w:val="22"/>
              </w:rPr>
            </w:pPr>
            <w:r>
              <w:rPr>
                <w:color w:val="000000"/>
                <w:sz w:val="22"/>
                <w:szCs w:val="22"/>
              </w:rPr>
              <w:t>Realización de debate, Philip 6-6, entrevistas, discurso, charla, ….</w:t>
            </w:r>
          </w:p>
          <w:p>
            <w:pPr>
              <w:pStyle w:val="Normal"/>
              <w:widowControl w:val="false"/>
              <w:numPr>
                <w:ilvl w:val="0"/>
                <w:numId w:val="6"/>
              </w:numPr>
              <w:pBdr/>
              <w:ind w:left="0" w:hanging="2"/>
              <w:jc w:val="both"/>
              <w:rPr>
                <w:color w:val="000000"/>
                <w:sz w:val="22"/>
                <w:szCs w:val="22"/>
              </w:rPr>
            </w:pPr>
            <w:r>
              <w:rPr>
                <w:color w:val="000000"/>
                <w:sz w:val="22"/>
                <w:szCs w:val="22"/>
              </w:rPr>
              <w:t>Simulación recepción de visitas y realización de presentaciones.</w:t>
            </w:r>
          </w:p>
          <w:p>
            <w:pPr>
              <w:pStyle w:val="Normal"/>
              <w:widowControl w:val="false"/>
              <w:numPr>
                <w:ilvl w:val="0"/>
                <w:numId w:val="6"/>
              </w:numPr>
              <w:pBdr/>
              <w:ind w:left="0" w:hanging="2"/>
              <w:jc w:val="both"/>
              <w:rPr>
                <w:color w:val="000000"/>
                <w:sz w:val="22"/>
                <w:szCs w:val="22"/>
              </w:rPr>
            </w:pPr>
            <w:r>
              <w:rPr>
                <w:color w:val="000000"/>
                <w:sz w:val="22"/>
                <w:szCs w:val="22"/>
              </w:rPr>
              <w:t>Simulación de llamadas telefónicas.</w:t>
            </w:r>
          </w:p>
          <w:p>
            <w:pPr>
              <w:pStyle w:val="Normal"/>
              <w:widowControl w:val="false"/>
              <w:numPr>
                <w:ilvl w:val="0"/>
                <w:numId w:val="6"/>
              </w:numPr>
              <w:pBdr/>
              <w:ind w:left="0" w:hanging="2"/>
              <w:jc w:val="both"/>
              <w:rPr>
                <w:color w:val="000000"/>
                <w:sz w:val="22"/>
                <w:szCs w:val="22"/>
              </w:rPr>
            </w:pPr>
            <w:r>
              <w:rPr>
                <w:color w:val="000000"/>
                <w:sz w:val="22"/>
                <w:szCs w:val="22"/>
              </w:rPr>
              <w:t>En todas las simulaciones y exposiciones se comprueban los errores cometidos y se proponen las acciones correctoras necesarias. (Se identificará qué se hizo bien, que se hizo mal y qué puede mejorar)</w:t>
            </w:r>
          </w:p>
          <w:p>
            <w:pPr>
              <w:pStyle w:val="Normal"/>
              <w:widowControl w:val="false"/>
              <w:numPr>
                <w:ilvl w:val="0"/>
                <w:numId w:val="6"/>
              </w:numPr>
              <w:pBdr/>
              <w:ind w:left="0" w:hanging="2"/>
              <w:jc w:val="both"/>
              <w:rPr>
                <w:color w:val="000000"/>
                <w:sz w:val="22"/>
                <w:szCs w:val="22"/>
              </w:rPr>
            </w:pPr>
            <w:r>
              <w:rPr>
                <w:color w:val="000000"/>
                <w:sz w:val="22"/>
                <w:szCs w:val="22"/>
              </w:rPr>
              <w:t>Resolución por parte del alumnado de una serie de ejercicios relacionados con el tema como: reflexionar sobre la forma correcta de atender las llamadas telefónicas de la empresa, conocer las formas de comunicación que se están generalizando en las empresas, valorar la conveniencia y la utilidad del empleo de una determinada tecnología, etc.</w:t>
            </w:r>
          </w:p>
          <w:p>
            <w:pPr>
              <w:pStyle w:val="Normal"/>
              <w:widowControl w:val="false"/>
              <w:numPr>
                <w:ilvl w:val="0"/>
                <w:numId w:val="6"/>
              </w:numPr>
              <w:pBdr/>
              <w:ind w:left="0" w:hanging="2"/>
              <w:jc w:val="both"/>
              <w:rPr>
                <w:color w:val="000000"/>
                <w:sz w:val="22"/>
                <w:szCs w:val="22"/>
              </w:rPr>
            </w:pPr>
            <w:r>
              <w:rPr>
                <w:color w:val="000000"/>
                <w:sz w:val="22"/>
                <w:szCs w:val="22"/>
              </w:rPr>
              <w:t>Practicar habilidades sociales propias de la comunicación oral no presencial.</w:t>
            </w:r>
          </w:p>
          <w:p>
            <w:pPr>
              <w:pStyle w:val="Normal"/>
              <w:widowControl w:val="false"/>
              <w:numPr>
                <w:ilvl w:val="0"/>
                <w:numId w:val="6"/>
              </w:numPr>
              <w:pBdr/>
              <w:ind w:left="0" w:hanging="2"/>
              <w:jc w:val="both"/>
              <w:rPr>
                <w:color w:val="000000"/>
                <w:sz w:val="22"/>
                <w:szCs w:val="22"/>
              </w:rPr>
            </w:pPr>
            <w:r>
              <w:rPr>
                <w:color w:val="000000"/>
                <w:sz w:val="22"/>
                <w:szCs w:val="22"/>
              </w:rPr>
              <w:t>Escucha de llamadas telefónicas para identificar errores.</w:t>
            </w:r>
          </w:p>
          <w:p>
            <w:pPr>
              <w:pStyle w:val="Normal"/>
              <w:widowControl w:val="false"/>
              <w:numPr>
                <w:ilvl w:val="0"/>
                <w:numId w:val="6"/>
              </w:numPr>
              <w:pBdr/>
              <w:ind w:left="0" w:hanging="2"/>
              <w:jc w:val="both"/>
              <w:rPr>
                <w:color w:val="000000"/>
                <w:sz w:val="22"/>
                <w:szCs w:val="22"/>
              </w:rPr>
            </w:pPr>
            <w:r>
              <w:rPr>
                <w:color w:val="000000"/>
                <w:sz w:val="22"/>
                <w:szCs w:val="22"/>
              </w:rPr>
              <w:t>Realizar simulación de videoconferencia en la empresa.</w:t>
            </w:r>
          </w:p>
          <w:p>
            <w:pPr>
              <w:pStyle w:val="Normal"/>
              <w:widowControl w:val="false"/>
              <w:numPr>
                <w:ilvl w:val="0"/>
                <w:numId w:val="6"/>
              </w:numPr>
              <w:pBdr/>
              <w:ind w:left="0" w:hanging="2"/>
              <w:jc w:val="both"/>
              <w:rPr>
                <w:color w:val="000000"/>
                <w:sz w:val="22"/>
                <w:szCs w:val="22"/>
              </w:rPr>
            </w:pPr>
            <w:r>
              <w:rPr>
                <w:color w:val="000000"/>
                <w:sz w:val="22"/>
                <w:szCs w:val="22"/>
              </w:rPr>
              <w:t>Confeccionar documento de recepción de llamadas telefónicas.</w:t>
            </w:r>
          </w:p>
          <w:p>
            <w:pPr>
              <w:pStyle w:val="Normal"/>
              <w:widowControl w:val="false"/>
              <w:numPr>
                <w:ilvl w:val="0"/>
                <w:numId w:val="6"/>
              </w:numPr>
              <w:pBdr/>
              <w:ind w:left="0" w:hanging="2"/>
              <w:jc w:val="both"/>
              <w:rPr>
                <w:color w:val="000000"/>
                <w:sz w:val="22"/>
                <w:szCs w:val="22"/>
              </w:rPr>
            </w:pPr>
            <w:r>
              <w:rPr>
                <w:color w:val="000000"/>
                <w:sz w:val="22"/>
                <w:szCs w:val="22"/>
              </w:rPr>
              <w:t>Role play</w:t>
            </w:r>
          </w:p>
          <w:p>
            <w:pPr>
              <w:pStyle w:val="Normal"/>
              <w:widowControl w:val="false"/>
              <w:numPr>
                <w:ilvl w:val="0"/>
                <w:numId w:val="6"/>
              </w:numPr>
              <w:pBdr/>
              <w:ind w:left="0" w:hanging="2"/>
              <w:jc w:val="both"/>
              <w:rPr>
                <w:color w:val="000000"/>
                <w:sz w:val="22"/>
                <w:szCs w:val="22"/>
              </w:rPr>
            </w:pPr>
            <w:r>
              <w:rPr>
                <w:color w:val="000000"/>
                <w:sz w:val="22"/>
                <w:szCs w:val="22"/>
              </w:rPr>
              <w:t>Kahoot de repaso</w:t>
            </w:r>
          </w:p>
        </w:tc>
        <w:tc>
          <w:tcPr>
            <w:tcW w:w="3945" w:type="dxa"/>
            <w:tcBorders>
              <w:top w:val="single" w:sz="4" w:space="0" w:color="000000"/>
              <w:left w:val="single" w:sz="4" w:space="0" w:color="000000"/>
              <w:bottom w:val="single" w:sz="4" w:space="0" w:color="000000"/>
            </w:tcBorders>
          </w:tcPr>
          <w:p>
            <w:pPr>
              <w:pStyle w:val="Normal"/>
              <w:widowControl w:val="false"/>
              <w:ind w:hanging="2"/>
              <w:jc w:val="both"/>
              <w:rPr>
                <w:color w:val="000000"/>
                <w:sz w:val="22"/>
                <w:szCs w:val="22"/>
              </w:rPr>
            </w:pPr>
            <w:r>
              <w:rPr>
                <w:sz w:val="22"/>
                <w:szCs w:val="22"/>
              </w:rPr>
              <w:t>A-B-P</w:t>
            </w:r>
          </w:p>
        </w:tc>
        <w:tc>
          <w:tcPr>
            <w:tcW w:w="1681" w:type="dxa"/>
            <w:tcBorders>
              <w:top w:val="single" w:sz="4" w:space="0" w:color="000000"/>
              <w:left w:val="single" w:sz="4" w:space="0" w:color="000000"/>
              <w:bottom w:val="single" w:sz="4" w:space="0" w:color="000000"/>
            </w:tcBorders>
          </w:tcPr>
          <w:p>
            <w:pPr>
              <w:pStyle w:val="Normal"/>
              <w:keepNext w:val="true"/>
              <w:widowControl w:val="false"/>
              <w:pBdr/>
              <w:ind w:hanging="2"/>
              <w:jc w:val="center"/>
              <w:rPr>
                <w:color w:val="000000"/>
                <w:sz w:val="22"/>
                <w:szCs w:val="22"/>
              </w:rPr>
            </w:pPr>
            <w:r>
              <w:rPr>
                <w:color w:val="000000"/>
                <w:sz w:val="22"/>
                <w:szCs w:val="22"/>
              </w:rPr>
            </w:r>
          </w:p>
          <w:p>
            <w:pPr>
              <w:pStyle w:val="Normal"/>
              <w:keepNext w:val="true"/>
              <w:widowControl w:val="false"/>
              <w:pBdr/>
              <w:ind w:hanging="2"/>
              <w:jc w:val="center"/>
              <w:rPr>
                <w:color w:val="000000"/>
                <w:sz w:val="22"/>
                <w:szCs w:val="22"/>
              </w:rPr>
            </w:pPr>
            <w:r>
              <w:rPr>
                <w:color w:val="000000"/>
                <w:sz w:val="22"/>
                <w:szCs w:val="22"/>
              </w:rPr>
            </w:r>
          </w:p>
          <w:p>
            <w:pPr>
              <w:pStyle w:val="Normal"/>
              <w:keepNext w:val="true"/>
              <w:widowControl w:val="false"/>
              <w:pBdr/>
              <w:ind w:hanging="2"/>
              <w:jc w:val="center"/>
              <w:rPr>
                <w:color w:val="000000"/>
                <w:sz w:val="22"/>
                <w:szCs w:val="22"/>
              </w:rPr>
            </w:pPr>
            <w:r>
              <w:rPr>
                <w:color w:val="000000"/>
                <w:sz w:val="22"/>
                <w:szCs w:val="22"/>
              </w:rPr>
              <w:t>A-B</w:t>
            </w:r>
          </w:p>
        </w:tc>
        <w:tc>
          <w:tcPr>
            <w:tcW w:w="585"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pBdr/>
              <w:ind w:hanging="2"/>
              <w:jc w:val="center"/>
              <w:rPr>
                <w:color w:val="000000"/>
                <w:sz w:val="22"/>
                <w:szCs w:val="22"/>
              </w:rPr>
            </w:pPr>
            <w:r>
              <w:rPr>
                <w:color w:val="000000"/>
                <w:sz w:val="22"/>
                <w:szCs w:val="22"/>
              </w:rPr>
            </w:r>
          </w:p>
          <w:p>
            <w:pPr>
              <w:pStyle w:val="Normal"/>
              <w:keepNext w:val="true"/>
              <w:widowControl w:val="false"/>
              <w:pBdr/>
              <w:ind w:hanging="2"/>
              <w:jc w:val="center"/>
              <w:rPr>
                <w:color w:val="000000"/>
                <w:sz w:val="22"/>
                <w:szCs w:val="22"/>
              </w:rPr>
            </w:pPr>
            <w:r>
              <w:rPr>
                <w:color w:val="000000"/>
                <w:sz w:val="22"/>
                <w:szCs w:val="22"/>
              </w:rPr>
            </w:r>
          </w:p>
          <w:p>
            <w:pPr>
              <w:pStyle w:val="Normal"/>
              <w:keepNext w:val="true"/>
              <w:widowControl w:val="false"/>
              <w:pBdr/>
              <w:ind w:hanging="2"/>
              <w:jc w:val="center"/>
              <w:rPr>
                <w:color w:val="000000"/>
                <w:sz w:val="22"/>
                <w:szCs w:val="22"/>
              </w:rPr>
            </w:pPr>
            <w:r>
              <w:rPr>
                <w:color w:val="000000"/>
                <w:sz w:val="22"/>
                <w:szCs w:val="22"/>
              </w:rPr>
            </w:r>
          </w:p>
        </w:tc>
      </w:tr>
    </w:tbl>
    <w:p>
      <w:pPr>
        <w:pStyle w:val="Normal"/>
        <w:widowControl w:val="false"/>
        <w:ind w:hanging="2"/>
        <w:jc w:val="both"/>
        <w:rPr>
          <w:sz w:val="22"/>
          <w:szCs w:val="22"/>
        </w:rPr>
      </w:pPr>
      <w:r>
        <w:rPr>
          <w:sz w:val="22"/>
          <w:szCs w:val="22"/>
        </w:rPr>
      </w:r>
    </w:p>
    <w:p>
      <w:pPr>
        <w:pStyle w:val="Normal"/>
        <w:widowControl w:val="false"/>
        <w:ind w:hanging="2"/>
        <w:jc w:val="both"/>
        <w:rPr>
          <w:sz w:val="22"/>
          <w:szCs w:val="22"/>
        </w:rPr>
      </w:pPr>
      <w:r>
        <w:rPr>
          <w:sz w:val="22"/>
          <w:szCs w:val="22"/>
        </w:rPr>
      </w:r>
    </w:p>
    <w:tbl>
      <w:tblPr>
        <w:tblStyle w:val="affffffa"/>
        <w:tblW w:w="10286" w:type="dxa"/>
        <w:jc w:val="left"/>
        <w:tblInd w:w="-355" w:type="dxa"/>
        <w:tblLayout w:type="fixed"/>
        <w:tblCellMar>
          <w:top w:w="0" w:type="dxa"/>
          <w:left w:w="108" w:type="dxa"/>
          <w:bottom w:w="0" w:type="dxa"/>
          <w:right w:w="108" w:type="dxa"/>
        </w:tblCellMar>
        <w:tblLook w:val="0000" w:noHBand="0" w:noVBand="0" w:firstColumn="0" w:lastRow="0" w:lastColumn="0" w:firstRow="0"/>
      </w:tblPr>
      <w:tblGrid>
        <w:gridCol w:w="6454"/>
        <w:gridCol w:w="2267"/>
        <w:gridCol w:w="1565"/>
      </w:tblGrid>
      <w:tr>
        <w:trPr/>
        <w:tc>
          <w:tcPr>
            <w:tcW w:w="10286" w:type="dxa"/>
            <w:gridSpan w:val="3"/>
            <w:tcBorders>
              <w:top w:val="single" w:sz="4" w:space="0" w:color="000000"/>
              <w:left w:val="single" w:sz="4" w:space="0" w:color="000000"/>
              <w:bottom w:val="single" w:sz="4" w:space="0" w:color="000000"/>
              <w:right w:val="single" w:sz="4" w:space="0" w:color="000000"/>
            </w:tcBorders>
            <w:shd w:color="auto" w:fill="B3B3B3" w:val="clear"/>
          </w:tcPr>
          <w:p>
            <w:pPr>
              <w:pStyle w:val="Normal"/>
              <w:keepNext w:val="true"/>
              <w:widowControl w:val="false"/>
              <w:pBdr/>
              <w:ind w:hanging="2"/>
              <w:jc w:val="center"/>
              <w:rPr>
                <w:b/>
                <w:b/>
                <w:color w:val="000000"/>
                <w:sz w:val="22"/>
                <w:szCs w:val="22"/>
              </w:rPr>
            </w:pPr>
            <w:r>
              <w:rPr>
                <w:b/>
                <w:color w:val="000000"/>
                <w:sz w:val="22"/>
                <w:szCs w:val="22"/>
              </w:rPr>
              <w:t>CRITERIOS DE:</w:t>
            </w:r>
          </w:p>
        </w:tc>
      </w:tr>
      <w:tr>
        <w:trPr/>
        <w:tc>
          <w:tcPr>
            <w:tcW w:w="6454" w:type="dxa"/>
            <w:tcBorders>
              <w:top w:val="single" w:sz="4" w:space="0" w:color="000000"/>
              <w:left w:val="single" w:sz="4" w:space="0" w:color="000000"/>
              <w:bottom w:val="single" w:sz="4" w:space="0" w:color="000000"/>
            </w:tcBorders>
            <w:shd w:color="auto" w:fill="D9D9D9" w:val="clear"/>
          </w:tcPr>
          <w:p>
            <w:pPr>
              <w:pStyle w:val="Normal"/>
              <w:widowControl w:val="false"/>
              <w:pBdr/>
              <w:ind w:hanging="2"/>
              <w:jc w:val="center"/>
              <w:rPr>
                <w:b/>
                <w:b/>
                <w:color w:val="000000"/>
                <w:sz w:val="22"/>
                <w:szCs w:val="22"/>
              </w:rPr>
            </w:pPr>
            <w:r>
              <w:rPr>
                <w:b/>
                <w:color w:val="000000"/>
                <w:sz w:val="22"/>
                <w:szCs w:val="22"/>
              </w:rPr>
              <w:t>EVALUACIÓN</w:t>
            </w:r>
          </w:p>
        </w:tc>
        <w:tc>
          <w:tcPr>
            <w:tcW w:w="2267" w:type="dxa"/>
            <w:tcBorders>
              <w:top w:val="single" w:sz="4" w:space="0" w:color="000000"/>
              <w:left w:val="single" w:sz="4" w:space="0" w:color="000000"/>
              <w:bottom w:val="single" w:sz="4" w:space="0" w:color="000000"/>
            </w:tcBorders>
            <w:shd w:color="auto" w:fill="D9D9D9" w:val="clear"/>
          </w:tcPr>
          <w:p>
            <w:pPr>
              <w:pStyle w:val="Normal"/>
              <w:widowControl w:val="false"/>
              <w:pBdr/>
              <w:ind w:hanging="2"/>
              <w:jc w:val="center"/>
              <w:rPr>
                <w:b/>
                <w:b/>
                <w:color w:val="000000"/>
                <w:sz w:val="22"/>
                <w:szCs w:val="22"/>
              </w:rPr>
            </w:pPr>
            <w:r>
              <w:rPr>
                <w:b/>
                <w:color w:val="000000"/>
                <w:sz w:val="22"/>
                <w:szCs w:val="22"/>
              </w:rPr>
              <w:t>CALIFICACIÓN</w:t>
            </w:r>
          </w:p>
        </w:tc>
        <w:tc>
          <w:tcPr>
            <w:tcW w:w="1565" w:type="dxa"/>
            <w:tcBorders>
              <w:top w:val="single" w:sz="4" w:space="0" w:color="000000"/>
              <w:left w:val="single" w:sz="4" w:space="0" w:color="000000"/>
              <w:bottom w:val="single" w:sz="4" w:space="0" w:color="000000"/>
              <w:right w:val="single" w:sz="4" w:space="0" w:color="000000"/>
            </w:tcBorders>
            <w:shd w:color="auto" w:fill="D9D9D9" w:val="clear"/>
          </w:tcPr>
          <w:p>
            <w:pPr>
              <w:pStyle w:val="Normal"/>
              <w:widowControl w:val="false"/>
              <w:pBdr/>
              <w:ind w:hanging="2"/>
              <w:jc w:val="center"/>
              <w:rPr>
                <w:b/>
                <w:b/>
                <w:color w:val="000000"/>
                <w:sz w:val="22"/>
                <w:szCs w:val="22"/>
              </w:rPr>
            </w:pPr>
            <w:r>
              <w:rPr>
                <w:b/>
                <w:color w:val="000000"/>
                <w:sz w:val="22"/>
                <w:szCs w:val="22"/>
              </w:rPr>
              <w:t>RECUPERA-CIÓN</w:t>
            </w:r>
          </w:p>
        </w:tc>
      </w:tr>
      <w:tr>
        <w:trPr/>
        <w:tc>
          <w:tcPr>
            <w:tcW w:w="6454" w:type="dxa"/>
            <w:tcBorders>
              <w:top w:val="single" w:sz="4" w:space="0" w:color="000000"/>
              <w:left w:val="single" w:sz="4" w:space="0" w:color="000000"/>
              <w:bottom w:val="single" w:sz="4" w:space="0" w:color="000000"/>
            </w:tcBorders>
          </w:tcPr>
          <w:p>
            <w:pPr>
              <w:pStyle w:val="Normal"/>
              <w:widowControl w:val="false"/>
              <w:numPr>
                <w:ilvl w:val="0"/>
                <w:numId w:val="16"/>
              </w:numPr>
              <w:pBdr/>
              <w:ind w:left="0" w:hanging="2"/>
              <w:jc w:val="both"/>
              <w:rPr>
                <w:color w:val="000000"/>
                <w:sz w:val="22"/>
                <w:szCs w:val="22"/>
              </w:rPr>
            </w:pPr>
            <w:r>
              <w:rPr>
                <w:color w:val="000000"/>
                <w:sz w:val="22"/>
                <w:szCs w:val="22"/>
              </w:rPr>
              <w:t>A) Se han identificado los elementos y las etapas de un proceso de comunicación.</w:t>
            </w:r>
          </w:p>
          <w:p>
            <w:pPr>
              <w:pStyle w:val="Normal"/>
              <w:widowControl w:val="false"/>
              <w:numPr>
                <w:ilvl w:val="0"/>
                <w:numId w:val="16"/>
              </w:numPr>
              <w:pBdr/>
              <w:ind w:left="0" w:hanging="2"/>
              <w:jc w:val="both"/>
              <w:rPr>
                <w:color w:val="000000"/>
                <w:sz w:val="22"/>
                <w:szCs w:val="22"/>
              </w:rPr>
            </w:pPr>
            <w:r>
              <w:rPr>
                <w:color w:val="000000"/>
                <w:sz w:val="22"/>
                <w:szCs w:val="22"/>
              </w:rPr>
              <w:t>B) Se han aplicado las distintas técnicas de comunicación oral presencial.</w:t>
            </w:r>
          </w:p>
          <w:p>
            <w:pPr>
              <w:pStyle w:val="Normal"/>
              <w:widowControl w:val="false"/>
              <w:numPr>
                <w:ilvl w:val="0"/>
                <w:numId w:val="16"/>
              </w:numPr>
              <w:pBdr/>
              <w:ind w:left="0" w:hanging="2"/>
              <w:jc w:val="both"/>
              <w:rPr>
                <w:color w:val="000000"/>
                <w:sz w:val="22"/>
                <w:szCs w:val="22"/>
              </w:rPr>
            </w:pPr>
            <w:r>
              <w:rPr>
                <w:color w:val="000000"/>
                <w:sz w:val="22"/>
                <w:szCs w:val="22"/>
              </w:rPr>
              <w:t>C) Se ha aplicado el protocolo de comunicación verbal y no verbal en las comunicaciones presenciales.</w:t>
            </w:r>
          </w:p>
          <w:p>
            <w:pPr>
              <w:pStyle w:val="Normal"/>
              <w:widowControl w:val="false"/>
              <w:numPr>
                <w:ilvl w:val="0"/>
                <w:numId w:val="16"/>
              </w:numPr>
              <w:pBdr/>
              <w:ind w:left="0" w:hanging="2"/>
              <w:jc w:val="both"/>
              <w:rPr>
                <w:color w:val="000000"/>
                <w:sz w:val="22"/>
                <w:szCs w:val="22"/>
              </w:rPr>
            </w:pPr>
            <w:r>
              <w:rPr>
                <w:color w:val="000000"/>
                <w:sz w:val="22"/>
                <w:szCs w:val="22"/>
              </w:rPr>
              <w:t>D) Se ha utilizado el léxico y las expresiones adecuadas al tipo de comunicación y a los interlocutores.</w:t>
            </w:r>
          </w:p>
          <w:p>
            <w:pPr>
              <w:pStyle w:val="Normal"/>
              <w:widowControl w:val="false"/>
              <w:numPr>
                <w:ilvl w:val="0"/>
                <w:numId w:val="16"/>
              </w:numPr>
              <w:pBdr/>
              <w:ind w:left="0" w:hanging="2"/>
              <w:jc w:val="both"/>
              <w:rPr>
                <w:color w:val="000000"/>
                <w:sz w:val="22"/>
                <w:szCs w:val="22"/>
              </w:rPr>
            </w:pPr>
            <w:r>
              <w:rPr>
                <w:color w:val="000000"/>
                <w:sz w:val="22"/>
                <w:szCs w:val="22"/>
              </w:rPr>
              <w:t>E) Se han identificado los elementos necesarios para realizar y recibir una llamada telefónica efectiva en sus distintas fases: preparación-identificación y realización de la misma.</w:t>
            </w:r>
          </w:p>
          <w:p>
            <w:pPr>
              <w:pStyle w:val="Normal"/>
              <w:widowControl w:val="false"/>
              <w:numPr>
                <w:ilvl w:val="0"/>
                <w:numId w:val="16"/>
              </w:numPr>
              <w:pBdr/>
              <w:ind w:left="0" w:hanging="2"/>
              <w:jc w:val="both"/>
              <w:rPr>
                <w:color w:val="000000"/>
                <w:sz w:val="22"/>
                <w:szCs w:val="22"/>
              </w:rPr>
            </w:pPr>
            <w:r>
              <w:rPr>
                <w:color w:val="000000"/>
                <w:sz w:val="22"/>
                <w:szCs w:val="22"/>
              </w:rPr>
              <w:t>F) Se han tenido en cuenta las costumbres socioculturales y los usos empresariales, y se ha valorado la importancia de la transmisión de la imagen corporativa.</w:t>
            </w:r>
          </w:p>
          <w:p>
            <w:pPr>
              <w:pStyle w:val="Normal"/>
              <w:widowControl w:val="false"/>
              <w:numPr>
                <w:ilvl w:val="0"/>
                <w:numId w:val="16"/>
              </w:numPr>
              <w:pBdr/>
              <w:ind w:left="0" w:hanging="2"/>
              <w:jc w:val="both"/>
              <w:rPr>
                <w:color w:val="000000"/>
                <w:sz w:val="22"/>
                <w:szCs w:val="22"/>
              </w:rPr>
            </w:pPr>
            <w:r>
              <w:rPr>
                <w:color w:val="000000"/>
                <w:sz w:val="22"/>
                <w:szCs w:val="22"/>
              </w:rPr>
              <w:t>G) Se ha valorado si la información es transmitida con claridad, de forma estructurada, con precisión, con cortesía, con respeto y con sensibilidad.</w:t>
            </w:r>
          </w:p>
          <w:p>
            <w:pPr>
              <w:pStyle w:val="Normal"/>
              <w:widowControl w:val="false"/>
              <w:numPr>
                <w:ilvl w:val="0"/>
                <w:numId w:val="16"/>
              </w:numPr>
              <w:pBdr/>
              <w:ind w:left="0" w:hanging="2"/>
              <w:jc w:val="both"/>
              <w:rPr>
                <w:color w:val="000000"/>
                <w:sz w:val="22"/>
                <w:szCs w:val="22"/>
              </w:rPr>
            </w:pPr>
            <w:r>
              <w:rPr>
                <w:color w:val="000000"/>
                <w:sz w:val="22"/>
                <w:szCs w:val="22"/>
              </w:rPr>
              <w:t>H) Se han detectado las interferencias que producen las barreras de la comunicación en la comprensión de un mensaje y se han propuesto las acciones correctivas necesarias.</w:t>
            </w:r>
          </w:p>
          <w:p>
            <w:pPr>
              <w:pStyle w:val="Normal"/>
              <w:widowControl w:val="false"/>
              <w:numPr>
                <w:ilvl w:val="0"/>
                <w:numId w:val="16"/>
              </w:numPr>
              <w:pBdr/>
              <w:ind w:left="0" w:hanging="2"/>
              <w:jc w:val="both"/>
              <w:rPr>
                <w:color w:val="000000"/>
                <w:sz w:val="22"/>
                <w:szCs w:val="22"/>
              </w:rPr>
            </w:pPr>
            <w:r>
              <w:rPr>
                <w:color w:val="000000"/>
                <w:sz w:val="22"/>
                <w:szCs w:val="22"/>
              </w:rPr>
              <w:t>I) Se han aplicado convenientemente elementos de comunicación no verbal en los mensajes emitidos.</w:t>
            </w:r>
          </w:p>
          <w:p>
            <w:pPr>
              <w:pStyle w:val="Normal"/>
              <w:widowControl w:val="false"/>
              <w:numPr>
                <w:ilvl w:val="0"/>
                <w:numId w:val="16"/>
              </w:numPr>
              <w:pBdr/>
              <w:ind w:left="0" w:hanging="2"/>
              <w:jc w:val="both"/>
              <w:rPr>
                <w:color w:val="000000"/>
                <w:sz w:val="22"/>
                <w:szCs w:val="22"/>
              </w:rPr>
            </w:pPr>
            <w:r>
              <w:rPr>
                <w:color w:val="000000"/>
                <w:sz w:val="22"/>
                <w:szCs w:val="22"/>
              </w:rPr>
              <w:t>J ) Se han comprobado los errores cometidos y se han propuesto las acciones correctoras necesarias.</w:t>
            </w:r>
          </w:p>
        </w:tc>
        <w:tc>
          <w:tcPr>
            <w:tcW w:w="2267" w:type="dxa"/>
            <w:tcBorders>
              <w:top w:val="single" w:sz="4" w:space="0" w:color="000000"/>
              <w:left w:val="single" w:sz="4" w:space="0" w:color="000000"/>
              <w:bottom w:val="single" w:sz="4" w:space="0" w:color="000000"/>
            </w:tcBorders>
          </w:tcPr>
          <w:p>
            <w:pPr>
              <w:pStyle w:val="Normal"/>
              <w:widowControl w:val="false"/>
              <w:ind w:hanging="2"/>
              <w:rPr>
                <w:sz w:val="22"/>
                <w:szCs w:val="22"/>
              </w:rPr>
            </w:pPr>
            <w:r>
              <w:rPr>
                <w:sz w:val="22"/>
                <w:szCs w:val="22"/>
              </w:rPr>
              <w:t>Los que se han detallado al inicio de esta programación.</w:t>
            </w:r>
          </w:p>
        </w:tc>
        <w:tc>
          <w:tcPr>
            <w:tcW w:w="1565" w:type="dxa"/>
            <w:tcBorders>
              <w:top w:val="single" w:sz="4" w:space="0" w:color="000000"/>
              <w:left w:val="single" w:sz="4" w:space="0" w:color="000000"/>
              <w:bottom w:val="single" w:sz="4" w:space="0" w:color="000000"/>
              <w:right w:val="single" w:sz="4" w:space="0" w:color="000000"/>
            </w:tcBorders>
          </w:tcPr>
          <w:p>
            <w:pPr>
              <w:pStyle w:val="Normal"/>
              <w:widowControl w:val="false"/>
              <w:ind w:hanging="2"/>
              <w:rPr>
                <w:sz w:val="22"/>
                <w:szCs w:val="22"/>
              </w:rPr>
            </w:pPr>
            <w:r>
              <w:rPr>
                <w:sz w:val="22"/>
                <w:szCs w:val="22"/>
              </w:rPr>
              <w:t>Los que se han detallado al inicio de esta programación.</w:t>
            </w:r>
          </w:p>
        </w:tc>
      </w:tr>
    </w:tbl>
    <w:p>
      <w:pPr>
        <w:pStyle w:val="Normal"/>
        <w:ind w:hanging="2"/>
        <w:rPr/>
      </w:pPr>
      <w:r>
        <w:rPr/>
      </w:r>
    </w:p>
    <w:p>
      <w:pPr>
        <w:pStyle w:val="Normal"/>
        <w:ind w:hanging="2"/>
        <w:rPr/>
      </w:pPr>
      <w:r>
        <w:rPr/>
      </w:r>
    </w:p>
    <w:p>
      <w:pPr>
        <w:pStyle w:val="Normal"/>
        <w:ind w:hanging="2"/>
        <w:rPr/>
      </w:pPr>
      <w:r>
        <w:rPr/>
      </w:r>
      <w:r>
        <w:br w:type="page"/>
      </w:r>
    </w:p>
    <w:p>
      <w:pPr>
        <w:pStyle w:val="Normal"/>
        <w:ind w:hanging="2"/>
        <w:rPr/>
      </w:pPr>
      <w:r>
        <w:rPr/>
      </w:r>
    </w:p>
    <w:tbl>
      <w:tblPr>
        <w:tblStyle w:val="affffffb"/>
        <w:tblW w:w="10354" w:type="dxa"/>
        <w:jc w:val="left"/>
        <w:tblInd w:w="-355" w:type="dxa"/>
        <w:tblLayout w:type="fixed"/>
        <w:tblCellMar>
          <w:top w:w="0" w:type="dxa"/>
          <w:left w:w="108" w:type="dxa"/>
          <w:bottom w:w="0" w:type="dxa"/>
          <w:right w:w="108" w:type="dxa"/>
        </w:tblCellMar>
        <w:tblLook w:val="0000" w:noHBand="0" w:noVBand="0" w:firstColumn="0" w:lastRow="0" w:lastColumn="0" w:firstRow="0"/>
      </w:tblPr>
      <w:tblGrid>
        <w:gridCol w:w="2626"/>
        <w:gridCol w:w="5104"/>
        <w:gridCol w:w="2624"/>
      </w:tblGrid>
      <w:tr>
        <w:trPr/>
        <w:tc>
          <w:tcPr>
            <w:tcW w:w="2626" w:type="dxa"/>
            <w:tcBorders>
              <w:top w:val="single" w:sz="4" w:space="0" w:color="000000"/>
              <w:left w:val="single" w:sz="4" w:space="0" w:color="000000"/>
              <w:bottom w:val="single" w:sz="4" w:space="0" w:color="000000"/>
            </w:tcBorders>
            <w:shd w:color="auto" w:fill="D9D9D9" w:val="clear"/>
            <w:vAlign w:val="center"/>
          </w:tcPr>
          <w:p>
            <w:pPr>
              <w:pStyle w:val="Normal"/>
              <w:widowControl w:val="false"/>
              <w:ind w:hanging="2"/>
              <w:jc w:val="center"/>
              <w:rPr/>
            </w:pPr>
            <w:r>
              <w:rPr>
                <w:b/>
              </w:rPr>
              <w:t>UD 2</w:t>
            </w:r>
          </w:p>
        </w:tc>
        <w:tc>
          <w:tcPr>
            <w:tcW w:w="5104" w:type="dxa"/>
            <w:tcBorders>
              <w:top w:val="single" w:sz="4" w:space="0" w:color="000000"/>
              <w:left w:val="single" w:sz="4" w:space="0" w:color="000000"/>
              <w:bottom w:val="single" w:sz="4" w:space="0" w:color="000000"/>
            </w:tcBorders>
            <w:shd w:color="auto" w:fill="D9D9D9" w:val="clear"/>
          </w:tcPr>
          <w:p>
            <w:pPr>
              <w:pStyle w:val="Normal"/>
              <w:widowControl w:val="false"/>
              <w:ind w:hanging="2"/>
              <w:jc w:val="center"/>
              <w:rPr/>
            </w:pPr>
            <w:r>
              <w:rPr>
                <w:b/>
              </w:rPr>
              <w:t>La organización en la empresa. Proceso de información y comunicación</w:t>
            </w:r>
          </w:p>
        </w:tc>
        <w:tc>
          <w:tcPr>
            <w:tcW w:w="2624" w:type="dxa"/>
            <w:tcBorders>
              <w:top w:val="single" w:sz="4" w:space="0" w:color="000000"/>
              <w:left w:val="single" w:sz="4" w:space="0" w:color="000000"/>
              <w:bottom w:val="single" w:sz="4" w:space="0" w:color="000000"/>
              <w:right w:val="single" w:sz="4" w:space="0" w:color="000000"/>
            </w:tcBorders>
            <w:shd w:color="auto" w:fill="D9D9D9" w:val="clear"/>
          </w:tcPr>
          <w:p>
            <w:pPr>
              <w:pStyle w:val="Normal"/>
              <w:keepNext w:val="true"/>
              <w:widowControl w:val="false"/>
              <w:pBdr/>
              <w:ind w:hanging="2"/>
              <w:jc w:val="center"/>
              <w:rPr>
                <w:b/>
                <w:b/>
                <w:color w:val="000000"/>
                <w:u w:val="single"/>
              </w:rPr>
            </w:pPr>
            <w:r>
              <w:rPr>
                <w:b/>
                <w:color w:val="000000"/>
              </w:rPr>
              <w:t>Nº de horas previstas</w:t>
            </w:r>
          </w:p>
          <w:p>
            <w:pPr>
              <w:pStyle w:val="Normal"/>
              <w:widowControl w:val="false"/>
              <w:ind w:hanging="2"/>
              <w:jc w:val="center"/>
              <w:rPr/>
            </w:pPr>
            <w:r>
              <w:rPr>
                <w:b/>
              </w:rPr>
              <w:t>17/17</w:t>
            </w:r>
          </w:p>
        </w:tc>
      </w:tr>
    </w:tbl>
    <w:p>
      <w:pPr>
        <w:pStyle w:val="Normal"/>
        <w:keepNext w:val="true"/>
        <w:pBdr/>
        <w:ind w:hanging="2"/>
        <w:jc w:val="both"/>
        <w:rPr>
          <w:color w:val="000000"/>
        </w:rPr>
      </w:pPr>
      <w:r>
        <w:rPr>
          <w:color w:val="000000"/>
        </w:rPr>
      </w:r>
    </w:p>
    <w:tbl>
      <w:tblPr>
        <w:tblStyle w:val="affffffc"/>
        <w:tblW w:w="10536" w:type="dxa"/>
        <w:jc w:val="left"/>
        <w:tblInd w:w="-528" w:type="dxa"/>
        <w:tblLayout w:type="fixed"/>
        <w:tblCellMar>
          <w:top w:w="0" w:type="dxa"/>
          <w:left w:w="108" w:type="dxa"/>
          <w:bottom w:w="0" w:type="dxa"/>
          <w:right w:w="108" w:type="dxa"/>
        </w:tblCellMar>
        <w:tblLook w:val="0000" w:noHBand="0" w:noVBand="0" w:firstColumn="0" w:lastRow="0" w:lastColumn="0" w:firstRow="0"/>
      </w:tblPr>
      <w:tblGrid>
        <w:gridCol w:w="10536"/>
      </w:tblGrid>
      <w:tr>
        <w:trPr>
          <w:trHeight w:val="5232" w:hRule="atLeast"/>
        </w:trPr>
        <w:tc>
          <w:tcPr>
            <w:tcW w:w="10536" w:type="dxa"/>
            <w:tcBorders>
              <w:top w:val="single" w:sz="4" w:space="0" w:color="000000"/>
              <w:left w:val="single" w:sz="4" w:space="0" w:color="000000"/>
              <w:bottom w:val="single" w:sz="4" w:space="0" w:color="000000"/>
              <w:right w:val="single" w:sz="4" w:space="0" w:color="000000"/>
            </w:tcBorders>
          </w:tcPr>
          <w:p>
            <w:pPr>
              <w:pStyle w:val="Normal"/>
              <w:widowControl w:val="false"/>
              <w:ind w:hanging="2"/>
              <w:rPr/>
            </w:pPr>
            <w:r>
              <w:rPr/>
            </w:r>
          </w:p>
          <w:p>
            <w:pPr>
              <w:pStyle w:val="Normal"/>
              <w:keepNext w:val="true"/>
              <w:widowControl w:val="false"/>
              <w:pBdr/>
              <w:ind w:hanging="2"/>
              <w:jc w:val="both"/>
              <w:rPr>
                <w:color w:val="000000"/>
              </w:rPr>
            </w:pPr>
            <w:r>
              <w:rPr>
                <w:b/>
                <w:color w:val="000000"/>
                <w:u w:val="single"/>
              </w:rPr>
              <w:t>Contenidos</w:t>
            </w:r>
            <w:r>
              <w:rPr>
                <w:b/>
                <w:color w:val="000000"/>
              </w:rPr>
              <w:t>:</w:t>
            </w:r>
          </w:p>
          <w:p>
            <w:pPr>
              <w:pStyle w:val="Normal"/>
              <w:widowControl w:val="false"/>
              <w:numPr>
                <w:ilvl w:val="0"/>
                <w:numId w:val="13"/>
              </w:numPr>
              <w:spacing w:before="0" w:after="120"/>
              <w:ind w:left="0" w:hanging="2"/>
              <w:jc w:val="both"/>
              <w:rPr>
                <w:rFonts w:ascii="Verdana" w:hAnsi="Verdana" w:eastAsia="Verdana" w:cs="Verdana"/>
                <w:color w:val="000000"/>
                <w:sz w:val="22"/>
                <w:szCs w:val="22"/>
              </w:rPr>
            </w:pPr>
            <w:r>
              <w:rPr>
                <w:rFonts w:eastAsia="Verdana" w:cs="Verdana" w:ascii="Verdana" w:hAnsi="Verdana"/>
                <w:color w:val="000000"/>
                <w:sz w:val="22"/>
                <w:szCs w:val="22"/>
              </w:rPr>
              <w:t>La empresa. Concepto, características y tipos. Elementos empresariales.</w:t>
            </w:r>
          </w:p>
          <w:p>
            <w:pPr>
              <w:pStyle w:val="Normal"/>
              <w:widowControl w:val="false"/>
              <w:numPr>
                <w:ilvl w:val="0"/>
                <w:numId w:val="13"/>
              </w:numPr>
              <w:spacing w:before="0" w:after="120"/>
              <w:ind w:left="0" w:hanging="2"/>
              <w:jc w:val="both"/>
              <w:rPr>
                <w:rFonts w:ascii="Verdana" w:hAnsi="Verdana" w:eastAsia="Verdana" w:cs="Verdana"/>
                <w:color w:val="000000"/>
                <w:sz w:val="22"/>
                <w:szCs w:val="22"/>
              </w:rPr>
            </w:pPr>
            <w:r>
              <w:rPr>
                <w:rFonts w:eastAsia="Verdana" w:cs="Verdana" w:ascii="Verdana" w:hAnsi="Verdana"/>
                <w:color w:val="000000"/>
                <w:sz w:val="22"/>
                <w:szCs w:val="22"/>
              </w:rPr>
              <w:t>La organización empresarial. Principios de organización. Los departamentos y las áreas funcionales. Organigramas. La organización informal y las relaciones humanas y laborales en la empresa.</w:t>
            </w:r>
          </w:p>
          <w:p>
            <w:pPr>
              <w:pStyle w:val="Normal"/>
              <w:widowControl w:val="false"/>
              <w:numPr>
                <w:ilvl w:val="0"/>
                <w:numId w:val="13"/>
              </w:numPr>
              <w:spacing w:before="0" w:after="120"/>
              <w:ind w:left="0" w:hanging="2"/>
              <w:jc w:val="both"/>
              <w:rPr>
                <w:rFonts w:ascii="Verdana" w:hAnsi="Verdana" w:eastAsia="Verdana" w:cs="Verdana"/>
                <w:color w:val="000000"/>
                <w:sz w:val="22"/>
                <w:szCs w:val="22"/>
              </w:rPr>
            </w:pPr>
            <w:r>
              <w:rPr>
                <w:rFonts w:eastAsia="Verdana" w:cs="Verdana" w:ascii="Verdana" w:hAnsi="Verdana"/>
                <w:color w:val="000000"/>
                <w:sz w:val="22"/>
                <w:szCs w:val="22"/>
              </w:rPr>
              <w:t>Dirección en la empresa. Funciones, personalidad y comportamiento del directivo. Niveles y estilos de mando.</w:t>
            </w:r>
          </w:p>
          <w:p>
            <w:pPr>
              <w:pStyle w:val="Normal"/>
              <w:widowControl w:val="false"/>
              <w:numPr>
                <w:ilvl w:val="0"/>
                <w:numId w:val="13"/>
              </w:numPr>
              <w:spacing w:before="0" w:after="120"/>
              <w:ind w:left="0" w:hanging="2"/>
              <w:jc w:val="both"/>
              <w:rPr>
                <w:rFonts w:ascii="Verdana" w:hAnsi="Verdana" w:eastAsia="Verdana" w:cs="Verdana"/>
                <w:color w:val="000000"/>
                <w:sz w:val="22"/>
                <w:szCs w:val="22"/>
              </w:rPr>
            </w:pPr>
            <w:r>
              <w:rPr>
                <w:rFonts w:eastAsia="Verdana" w:cs="Verdana" w:ascii="Verdana" w:hAnsi="Verdana"/>
                <w:color w:val="000000"/>
                <w:sz w:val="22"/>
                <w:szCs w:val="22"/>
              </w:rPr>
              <w:t>Procesos y sistemas de información. Tratamiento de la información. Flujos entre departamentos. Lo confidencial y lo restringido.</w:t>
            </w:r>
          </w:p>
          <w:p>
            <w:pPr>
              <w:pStyle w:val="Normal"/>
              <w:widowControl w:val="false"/>
              <w:numPr>
                <w:ilvl w:val="0"/>
                <w:numId w:val="13"/>
              </w:numPr>
              <w:spacing w:before="0" w:after="120"/>
              <w:ind w:left="0" w:hanging="2"/>
              <w:jc w:val="both"/>
              <w:rPr>
                <w:rFonts w:ascii="Verdana" w:hAnsi="Verdana" w:eastAsia="Verdana" w:cs="Verdana"/>
                <w:color w:val="000000"/>
                <w:sz w:val="22"/>
                <w:szCs w:val="22"/>
              </w:rPr>
            </w:pPr>
            <w:r>
              <w:rPr>
                <w:rFonts w:eastAsia="Verdana" w:cs="Verdana" w:ascii="Verdana" w:hAnsi="Verdana"/>
                <w:color w:val="000000"/>
                <w:sz w:val="22"/>
                <w:szCs w:val="22"/>
              </w:rPr>
              <w:t>Calidad del servicio y atención de demandas. La relación entre organización y comunicación en la empresa. Centralización o descentralización.</w:t>
            </w:r>
          </w:p>
          <w:p>
            <w:pPr>
              <w:pStyle w:val="Normal"/>
              <w:widowControl w:val="false"/>
              <w:numPr>
                <w:ilvl w:val="0"/>
                <w:numId w:val="13"/>
              </w:numPr>
              <w:spacing w:before="0" w:after="120"/>
              <w:ind w:left="0" w:hanging="2"/>
              <w:jc w:val="both"/>
              <w:rPr>
                <w:rFonts w:ascii="Verdana" w:hAnsi="Verdana" w:eastAsia="Verdana" w:cs="Verdana"/>
                <w:color w:val="000000"/>
                <w:sz w:val="22"/>
                <w:szCs w:val="22"/>
              </w:rPr>
            </w:pPr>
            <w:r>
              <w:rPr>
                <w:rFonts w:eastAsia="Verdana" w:cs="Verdana" w:ascii="Verdana" w:hAnsi="Verdana"/>
                <w:color w:val="000000"/>
                <w:sz w:val="22"/>
                <w:szCs w:val="22"/>
              </w:rPr>
              <w:t>La comunicación interna y externa. Comunicación formal e informal. Los rumores. Comunicación, información y comportamiento.</w:t>
            </w:r>
          </w:p>
          <w:p>
            <w:pPr>
              <w:pStyle w:val="Normal"/>
              <w:widowControl w:val="false"/>
              <w:numPr>
                <w:ilvl w:val="0"/>
                <w:numId w:val="13"/>
              </w:numPr>
              <w:spacing w:before="0" w:after="120"/>
              <w:ind w:left="0" w:hanging="2"/>
              <w:jc w:val="both"/>
              <w:rPr/>
            </w:pPr>
            <w:r>
              <w:rPr>
                <w:rFonts w:eastAsia="Verdana" w:cs="Verdana" w:ascii="Verdana" w:hAnsi="Verdana"/>
                <w:color w:val="000000"/>
                <w:sz w:val="22"/>
                <w:szCs w:val="22"/>
              </w:rPr>
              <w:t>La imagen corporativa e institucional. La cultura corporativa. La imagen institucional.</w:t>
            </w:r>
          </w:p>
        </w:tc>
      </w:tr>
    </w:tbl>
    <w:p>
      <w:pPr>
        <w:pStyle w:val="Normal"/>
        <w:spacing w:before="0" w:after="120"/>
        <w:ind w:hanging="2"/>
        <w:jc w:val="both"/>
        <w:rPr>
          <w:rFonts w:ascii="Verdana" w:hAnsi="Verdana" w:eastAsia="Verdana" w:cs="Verdana"/>
          <w:color w:val="000000"/>
          <w:sz w:val="22"/>
          <w:szCs w:val="22"/>
        </w:rPr>
      </w:pPr>
      <w:r>
        <w:rPr>
          <w:rFonts w:eastAsia="Verdana" w:cs="Verdana" w:ascii="Verdana" w:hAnsi="Verdana"/>
          <w:color w:val="000000"/>
          <w:sz w:val="22"/>
          <w:szCs w:val="22"/>
        </w:rPr>
      </w:r>
    </w:p>
    <w:p>
      <w:pPr>
        <w:pStyle w:val="Normal"/>
        <w:spacing w:before="0" w:after="120"/>
        <w:ind w:hanging="2"/>
        <w:jc w:val="both"/>
        <w:rPr>
          <w:rFonts w:ascii="Verdana" w:hAnsi="Verdana" w:eastAsia="Verdana" w:cs="Verdana"/>
          <w:color w:val="000000"/>
          <w:sz w:val="22"/>
          <w:szCs w:val="22"/>
        </w:rPr>
      </w:pPr>
      <w:r>
        <w:rPr>
          <w:rFonts w:eastAsia="Verdana" w:cs="Verdana" w:ascii="Verdana" w:hAnsi="Verdana"/>
          <w:color w:val="000000"/>
          <w:sz w:val="22"/>
          <w:szCs w:val="22"/>
        </w:rPr>
      </w:r>
    </w:p>
    <w:p>
      <w:pPr>
        <w:pStyle w:val="Normal"/>
        <w:spacing w:before="0" w:after="120"/>
        <w:ind w:hanging="2"/>
        <w:jc w:val="both"/>
        <w:rPr>
          <w:rFonts w:ascii="Verdana" w:hAnsi="Verdana" w:eastAsia="Verdana" w:cs="Verdana"/>
          <w:color w:val="000000"/>
          <w:sz w:val="22"/>
          <w:szCs w:val="22"/>
        </w:rPr>
      </w:pPr>
      <w:r>
        <w:rPr>
          <w:rFonts w:eastAsia="Verdana" w:cs="Verdana" w:ascii="Verdana" w:hAnsi="Verdana"/>
          <w:color w:val="000000"/>
          <w:sz w:val="22"/>
          <w:szCs w:val="22"/>
        </w:rPr>
      </w:r>
    </w:p>
    <w:tbl>
      <w:tblPr>
        <w:tblStyle w:val="affffffd"/>
        <w:tblW w:w="10324" w:type="dxa"/>
        <w:jc w:val="left"/>
        <w:tblInd w:w="-355" w:type="dxa"/>
        <w:tblLayout w:type="fixed"/>
        <w:tblCellMar>
          <w:top w:w="0" w:type="dxa"/>
          <w:left w:w="108" w:type="dxa"/>
          <w:bottom w:w="0" w:type="dxa"/>
          <w:right w:w="108" w:type="dxa"/>
        </w:tblCellMar>
        <w:tblLook w:val="0000" w:noHBand="0" w:noVBand="0" w:firstColumn="0" w:lastRow="0" w:lastColumn="0" w:firstRow="0"/>
      </w:tblPr>
      <w:tblGrid>
        <w:gridCol w:w="6486"/>
        <w:gridCol w:w="1913"/>
        <w:gridCol w:w="1925"/>
      </w:tblGrid>
      <w:tr>
        <w:trPr/>
        <w:tc>
          <w:tcPr>
            <w:tcW w:w="6486" w:type="dxa"/>
            <w:tcBorders>
              <w:top w:val="single" w:sz="4" w:space="0" w:color="000000"/>
              <w:left w:val="single" w:sz="4" w:space="0" w:color="000000"/>
              <w:bottom w:val="single" w:sz="4" w:space="0" w:color="000000"/>
            </w:tcBorders>
            <w:vAlign w:val="center"/>
          </w:tcPr>
          <w:p>
            <w:pPr>
              <w:pStyle w:val="Normal"/>
              <w:keepNext w:val="true"/>
              <w:widowControl w:val="false"/>
              <w:pBdr/>
              <w:ind w:hanging="2"/>
              <w:jc w:val="center"/>
              <w:rPr>
                <w:b/>
                <w:b/>
                <w:color w:val="000000"/>
                <w:sz w:val="22"/>
                <w:szCs w:val="22"/>
                <w:u w:val="single"/>
              </w:rPr>
            </w:pPr>
            <w:r>
              <w:rPr>
                <w:b/>
                <w:color w:val="000000"/>
                <w:sz w:val="22"/>
                <w:szCs w:val="22"/>
                <w:u w:val="single"/>
              </w:rPr>
              <w:t>Actividades concretas a realizar</w:t>
            </w:r>
          </w:p>
        </w:tc>
        <w:tc>
          <w:tcPr>
            <w:tcW w:w="1913" w:type="dxa"/>
            <w:tcBorders>
              <w:top w:val="single" w:sz="4" w:space="0" w:color="000000"/>
              <w:left w:val="single" w:sz="4" w:space="0" w:color="000000"/>
              <w:bottom w:val="single" w:sz="4" w:space="0" w:color="000000"/>
            </w:tcBorders>
            <w:vAlign w:val="center"/>
          </w:tcPr>
          <w:p>
            <w:pPr>
              <w:pStyle w:val="Normal"/>
              <w:keepNext w:val="true"/>
              <w:widowControl w:val="false"/>
              <w:pBdr/>
              <w:ind w:hanging="2"/>
              <w:jc w:val="center"/>
              <w:rPr>
                <w:b/>
                <w:b/>
                <w:color w:val="000000"/>
                <w:sz w:val="22"/>
                <w:szCs w:val="22"/>
                <w:u w:val="single"/>
              </w:rPr>
            </w:pPr>
            <w:r>
              <w:rPr>
                <w:b/>
                <w:color w:val="000000"/>
                <w:sz w:val="22"/>
                <w:szCs w:val="22"/>
                <w:u w:val="single"/>
              </w:rPr>
              <w:t>Objetivos</w:t>
            </w:r>
          </w:p>
          <w:p>
            <w:pPr>
              <w:pStyle w:val="Normal"/>
              <w:keepNext w:val="true"/>
              <w:widowControl w:val="false"/>
              <w:pBdr/>
              <w:ind w:hanging="2"/>
              <w:jc w:val="center"/>
              <w:rPr>
                <w:b/>
                <w:b/>
                <w:color w:val="000000"/>
                <w:sz w:val="22"/>
                <w:szCs w:val="22"/>
                <w:u w:val="single"/>
              </w:rPr>
            </w:pPr>
            <w:r>
              <w:rPr>
                <w:b/>
                <w:color w:val="000000"/>
                <w:sz w:val="22"/>
                <w:szCs w:val="22"/>
                <w:u w:val="single"/>
              </w:rPr>
              <w:t>Generales</w:t>
            </w:r>
          </w:p>
          <w:p>
            <w:pPr>
              <w:pStyle w:val="Normal"/>
              <w:keepNext w:val="true"/>
              <w:widowControl w:val="false"/>
              <w:pBdr/>
              <w:ind w:hanging="2"/>
              <w:jc w:val="center"/>
              <w:rPr>
                <w:b/>
                <w:b/>
                <w:color w:val="000000"/>
                <w:sz w:val="22"/>
                <w:szCs w:val="22"/>
                <w:u w:val="single"/>
              </w:rPr>
            </w:pPr>
            <w:r>
              <w:rPr>
                <w:b/>
                <w:color w:val="000000"/>
                <w:sz w:val="22"/>
                <w:szCs w:val="22"/>
                <w:u w:val="single"/>
              </w:rPr>
              <w:t>Trabajados</w:t>
            </w:r>
          </w:p>
        </w:tc>
        <w:tc>
          <w:tcPr>
            <w:tcW w:w="1925" w:type="dxa"/>
            <w:tcBorders>
              <w:top w:val="single" w:sz="4" w:space="0" w:color="000000"/>
              <w:left w:val="single" w:sz="4" w:space="0" w:color="000000"/>
              <w:bottom w:val="single" w:sz="4" w:space="0" w:color="000000"/>
              <w:right w:val="single" w:sz="4" w:space="0" w:color="000000"/>
            </w:tcBorders>
            <w:vAlign w:val="center"/>
          </w:tcPr>
          <w:p>
            <w:pPr>
              <w:pStyle w:val="Normal"/>
              <w:keepNext w:val="true"/>
              <w:widowControl w:val="false"/>
              <w:pBdr/>
              <w:ind w:hanging="2"/>
              <w:jc w:val="center"/>
              <w:rPr>
                <w:b/>
                <w:b/>
                <w:color w:val="000000"/>
                <w:sz w:val="22"/>
                <w:szCs w:val="22"/>
                <w:u w:val="single"/>
              </w:rPr>
            </w:pPr>
            <w:r>
              <w:rPr>
                <w:b/>
                <w:color w:val="000000"/>
                <w:sz w:val="22"/>
                <w:szCs w:val="22"/>
                <w:u w:val="single"/>
              </w:rPr>
              <w:t>Competencias Asociadas</w:t>
            </w:r>
          </w:p>
        </w:tc>
      </w:tr>
      <w:tr>
        <w:trPr/>
        <w:tc>
          <w:tcPr>
            <w:tcW w:w="6486" w:type="dxa"/>
            <w:tcBorders>
              <w:top w:val="single" w:sz="4" w:space="0" w:color="000000"/>
              <w:left w:val="single" w:sz="4" w:space="0" w:color="000000"/>
              <w:bottom w:val="single" w:sz="4" w:space="0" w:color="000000"/>
            </w:tcBorders>
          </w:tcPr>
          <w:p>
            <w:pPr>
              <w:pStyle w:val="Normal"/>
              <w:widowControl w:val="false"/>
              <w:numPr>
                <w:ilvl w:val="0"/>
                <w:numId w:val="18"/>
              </w:numPr>
              <w:pBdr/>
              <w:ind w:left="0" w:hanging="2"/>
              <w:jc w:val="both"/>
              <w:rPr>
                <w:sz w:val="22"/>
                <w:szCs w:val="22"/>
              </w:rPr>
            </w:pPr>
            <w:r>
              <w:rPr>
                <w:sz w:val="22"/>
                <w:szCs w:val="22"/>
              </w:rPr>
              <w:t>Lluvia de ideas para detectar el conocimiento del tema.</w:t>
            </w:r>
          </w:p>
          <w:p>
            <w:pPr>
              <w:pStyle w:val="Normal"/>
              <w:widowControl w:val="false"/>
              <w:numPr>
                <w:ilvl w:val="0"/>
                <w:numId w:val="18"/>
              </w:numPr>
              <w:pBdr/>
              <w:ind w:left="0" w:hanging="2"/>
              <w:jc w:val="both"/>
              <w:rPr>
                <w:sz w:val="22"/>
                <w:szCs w:val="22"/>
              </w:rPr>
            </w:pPr>
            <w:r>
              <w:rPr>
                <w:color w:val="000000"/>
                <w:sz w:val="22"/>
                <w:szCs w:val="22"/>
              </w:rPr>
              <w:t>En equipo, el alumnado va a crear una empresa donde deberá elegir una organización empresarial y justificar el por qué ha elegido esa opción. Deberá establecer sus objetivos, elementos, funciones de organización empresarial, modelos de organización, organigrama, seleccionar el tipo de organización que prefieren y justificar su elección. También deberán seleccionar las vías de comunicación interna y externa de la empresa. así como establecer el protocolo de recepción de visitas. y la identidad corporativa. Una vez finalizado el proyecto deberán exponerlo en clase.</w:t>
            </w:r>
          </w:p>
          <w:p>
            <w:pPr>
              <w:pStyle w:val="Normal"/>
              <w:widowControl w:val="false"/>
              <w:numPr>
                <w:ilvl w:val="0"/>
                <w:numId w:val="18"/>
              </w:numPr>
              <w:pBdr/>
              <w:ind w:left="0" w:hanging="2"/>
              <w:jc w:val="both"/>
              <w:rPr>
                <w:color w:val="000000"/>
                <w:sz w:val="22"/>
                <w:szCs w:val="22"/>
              </w:rPr>
            </w:pPr>
            <w:r>
              <w:rPr>
                <w:color w:val="000000"/>
                <w:sz w:val="22"/>
                <w:szCs w:val="22"/>
              </w:rPr>
              <w:t>Visionado de vídeos empresariales relacionados con el tema.La Fageda</w:t>
            </w:r>
          </w:p>
          <w:p>
            <w:pPr>
              <w:pStyle w:val="Normal"/>
              <w:widowControl w:val="false"/>
              <w:numPr>
                <w:ilvl w:val="0"/>
                <w:numId w:val="18"/>
              </w:numPr>
              <w:pBdr/>
              <w:ind w:left="0" w:hanging="2"/>
              <w:jc w:val="both"/>
              <w:rPr>
                <w:color w:val="000000"/>
                <w:sz w:val="22"/>
                <w:szCs w:val="22"/>
              </w:rPr>
            </w:pPr>
            <w:r>
              <w:rPr>
                <w:color w:val="000000"/>
                <w:sz w:val="22"/>
                <w:szCs w:val="22"/>
              </w:rPr>
              <w:t>Ejercicios y actividades del libro</w:t>
            </w:r>
          </w:p>
          <w:p>
            <w:pPr>
              <w:pStyle w:val="Normal"/>
              <w:widowControl w:val="false"/>
              <w:numPr>
                <w:ilvl w:val="0"/>
                <w:numId w:val="18"/>
              </w:numPr>
              <w:pBdr/>
              <w:ind w:left="0" w:hanging="2"/>
              <w:jc w:val="both"/>
              <w:rPr>
                <w:color w:val="000000"/>
                <w:sz w:val="22"/>
                <w:szCs w:val="22"/>
              </w:rPr>
            </w:pPr>
            <w:r>
              <w:rPr>
                <w:color w:val="000000"/>
                <w:sz w:val="22"/>
                <w:szCs w:val="22"/>
              </w:rPr>
              <w:t>Diálogo sobre la influencia de la comunicación informal y las cadenas de rumores en las organizaciones, y su repercusión en las actuaciones del servicio de información prestado.</w:t>
            </w:r>
          </w:p>
          <w:p>
            <w:pPr>
              <w:pStyle w:val="Normal"/>
              <w:widowControl w:val="false"/>
              <w:numPr>
                <w:ilvl w:val="0"/>
                <w:numId w:val="18"/>
              </w:numPr>
              <w:pBdr/>
              <w:ind w:left="0" w:hanging="2"/>
              <w:jc w:val="both"/>
              <w:rPr>
                <w:color w:val="000000"/>
                <w:sz w:val="22"/>
                <w:szCs w:val="22"/>
              </w:rPr>
            </w:pPr>
            <w:r>
              <w:rPr>
                <w:color w:val="000000"/>
                <w:sz w:val="22"/>
                <w:szCs w:val="22"/>
              </w:rPr>
              <w:t>Reflexión sobre la importancia de la imagen corporativa en los procesos de información y comunicación en las organizaciones.</w:t>
            </w:r>
          </w:p>
          <w:p>
            <w:pPr>
              <w:pStyle w:val="Normal"/>
              <w:widowControl w:val="false"/>
              <w:numPr>
                <w:ilvl w:val="0"/>
                <w:numId w:val="18"/>
              </w:numPr>
              <w:pBdr/>
              <w:ind w:left="0" w:hanging="2"/>
              <w:jc w:val="both"/>
              <w:rPr>
                <w:color w:val="000000"/>
                <w:sz w:val="22"/>
                <w:szCs w:val="22"/>
              </w:rPr>
            </w:pPr>
            <w:r>
              <w:rPr>
                <w:color w:val="000000"/>
                <w:sz w:val="22"/>
                <w:szCs w:val="22"/>
              </w:rPr>
              <w:t>Practicar habilidades sociales simulando situaciones que pueden darse en las empresas.</w:t>
            </w:r>
          </w:p>
          <w:p>
            <w:pPr>
              <w:pStyle w:val="Normal"/>
              <w:widowControl w:val="false"/>
              <w:numPr>
                <w:ilvl w:val="0"/>
                <w:numId w:val="18"/>
              </w:numPr>
              <w:pBdr/>
              <w:ind w:left="0" w:hanging="2"/>
              <w:jc w:val="both"/>
              <w:rPr>
                <w:color w:val="000000"/>
                <w:sz w:val="22"/>
                <w:szCs w:val="22"/>
              </w:rPr>
            </w:pPr>
            <w:r>
              <w:rPr>
                <w:color w:val="000000"/>
                <w:sz w:val="22"/>
                <w:szCs w:val="22"/>
              </w:rPr>
              <w:t>Analizar la imagen corporativa de una empresa real.</w:t>
            </w:r>
          </w:p>
          <w:p>
            <w:pPr>
              <w:pStyle w:val="Normal"/>
              <w:widowControl w:val="false"/>
              <w:numPr>
                <w:ilvl w:val="0"/>
                <w:numId w:val="18"/>
              </w:numPr>
              <w:pBdr/>
              <w:ind w:left="0" w:hanging="2"/>
              <w:jc w:val="both"/>
              <w:rPr>
                <w:color w:val="000000"/>
                <w:sz w:val="22"/>
                <w:szCs w:val="22"/>
              </w:rPr>
            </w:pPr>
            <w:r>
              <w:rPr>
                <w:color w:val="000000"/>
                <w:sz w:val="22"/>
                <w:szCs w:val="22"/>
              </w:rPr>
              <w:t>Charla sobre protocolo empresarial.</w:t>
            </w:r>
          </w:p>
          <w:p>
            <w:pPr>
              <w:pStyle w:val="Normal"/>
              <w:widowControl w:val="false"/>
              <w:numPr>
                <w:ilvl w:val="0"/>
                <w:numId w:val="18"/>
              </w:numPr>
              <w:pBdr/>
              <w:ind w:left="0" w:hanging="2"/>
              <w:jc w:val="both"/>
              <w:rPr>
                <w:color w:val="000000"/>
                <w:sz w:val="22"/>
                <w:szCs w:val="22"/>
              </w:rPr>
            </w:pPr>
            <w:r>
              <w:rPr>
                <w:color w:val="000000"/>
                <w:sz w:val="22"/>
                <w:szCs w:val="22"/>
              </w:rPr>
              <w:t>Kahoot de repaso.</w:t>
            </w:r>
          </w:p>
          <w:p>
            <w:pPr>
              <w:pStyle w:val="Normal"/>
              <w:widowControl w:val="false"/>
              <w:ind w:hanging="2"/>
              <w:jc w:val="both"/>
              <w:rPr>
                <w:sz w:val="22"/>
                <w:szCs w:val="22"/>
              </w:rPr>
            </w:pPr>
            <w:r>
              <w:rPr>
                <w:sz w:val="22"/>
                <w:szCs w:val="22"/>
              </w:rPr>
            </w:r>
          </w:p>
        </w:tc>
        <w:tc>
          <w:tcPr>
            <w:tcW w:w="1913" w:type="dxa"/>
            <w:tcBorders>
              <w:top w:val="single" w:sz="4" w:space="0" w:color="000000"/>
              <w:left w:val="single" w:sz="4" w:space="0" w:color="000000"/>
              <w:bottom w:val="single" w:sz="4" w:space="0" w:color="000000"/>
            </w:tcBorders>
          </w:tcPr>
          <w:p>
            <w:pPr>
              <w:pStyle w:val="Normal"/>
              <w:keepNext w:val="true"/>
              <w:widowControl w:val="false"/>
              <w:pBdr/>
              <w:ind w:hanging="2"/>
              <w:jc w:val="center"/>
              <w:rPr>
                <w:color w:val="000000"/>
                <w:sz w:val="22"/>
                <w:szCs w:val="22"/>
              </w:rPr>
            </w:pPr>
            <w:r>
              <w:rPr>
                <w:color w:val="000000"/>
                <w:sz w:val="22"/>
                <w:szCs w:val="22"/>
              </w:rPr>
            </w:r>
          </w:p>
          <w:p>
            <w:pPr>
              <w:pStyle w:val="Normal"/>
              <w:keepNext w:val="true"/>
              <w:widowControl w:val="false"/>
              <w:pBdr/>
              <w:ind w:hanging="2"/>
              <w:jc w:val="center"/>
              <w:rPr>
                <w:color w:val="000000"/>
                <w:sz w:val="22"/>
                <w:szCs w:val="22"/>
              </w:rPr>
            </w:pPr>
            <w:r>
              <w:rPr>
                <w:color w:val="000000"/>
                <w:sz w:val="22"/>
                <w:szCs w:val="22"/>
              </w:rPr>
            </w:r>
          </w:p>
          <w:p>
            <w:pPr>
              <w:pStyle w:val="Normal"/>
              <w:keepNext w:val="true"/>
              <w:widowControl w:val="false"/>
              <w:pBdr/>
              <w:ind w:hanging="2"/>
              <w:jc w:val="center"/>
              <w:rPr>
                <w:color w:val="000000"/>
                <w:sz w:val="22"/>
                <w:szCs w:val="22"/>
              </w:rPr>
            </w:pPr>
            <w:r>
              <w:rPr>
                <w:color w:val="000000"/>
                <w:sz w:val="22"/>
                <w:szCs w:val="22"/>
              </w:rPr>
              <w:t>A-B</w:t>
            </w:r>
          </w:p>
        </w:tc>
        <w:tc>
          <w:tcPr>
            <w:tcW w:w="1925"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pBdr/>
              <w:ind w:hanging="2"/>
              <w:jc w:val="center"/>
              <w:rPr>
                <w:color w:val="000000"/>
                <w:sz w:val="22"/>
                <w:szCs w:val="22"/>
              </w:rPr>
            </w:pPr>
            <w:r>
              <w:rPr>
                <w:color w:val="000000"/>
                <w:sz w:val="22"/>
                <w:szCs w:val="22"/>
              </w:rPr>
            </w:r>
          </w:p>
          <w:p>
            <w:pPr>
              <w:pStyle w:val="Normal"/>
              <w:keepNext w:val="true"/>
              <w:widowControl w:val="false"/>
              <w:pBdr/>
              <w:ind w:hanging="2"/>
              <w:jc w:val="center"/>
              <w:rPr>
                <w:color w:val="000000"/>
                <w:sz w:val="22"/>
                <w:szCs w:val="22"/>
              </w:rPr>
            </w:pPr>
            <w:r>
              <w:rPr>
                <w:color w:val="000000"/>
                <w:sz w:val="22"/>
                <w:szCs w:val="22"/>
              </w:rPr>
            </w:r>
          </w:p>
          <w:p>
            <w:pPr>
              <w:pStyle w:val="Normal"/>
              <w:keepNext w:val="true"/>
              <w:widowControl w:val="false"/>
              <w:pBdr/>
              <w:ind w:hanging="2"/>
              <w:jc w:val="center"/>
              <w:rPr>
                <w:color w:val="000000"/>
                <w:sz w:val="22"/>
                <w:szCs w:val="22"/>
              </w:rPr>
            </w:pPr>
            <w:r>
              <w:rPr>
                <w:color w:val="000000"/>
                <w:sz w:val="22"/>
                <w:szCs w:val="22"/>
              </w:rPr>
              <w:t>A-B-P</w:t>
            </w:r>
          </w:p>
        </w:tc>
      </w:tr>
    </w:tbl>
    <w:p>
      <w:pPr>
        <w:pStyle w:val="Normal"/>
        <w:pBdr/>
        <w:tabs>
          <w:tab w:val="clear" w:pos="720"/>
          <w:tab w:val="right" w:pos="560" w:leader="none"/>
          <w:tab w:val="left" w:pos="680" w:leader="none"/>
        </w:tabs>
        <w:ind w:hanging="2"/>
        <w:jc w:val="both"/>
        <w:rPr>
          <w:color w:val="000000"/>
        </w:rPr>
      </w:pPr>
      <w:r>
        <w:rPr>
          <w:color w:val="000000"/>
        </w:rPr>
      </w:r>
    </w:p>
    <w:tbl>
      <w:tblPr>
        <w:tblStyle w:val="affffffe"/>
        <w:tblW w:w="10286" w:type="dxa"/>
        <w:jc w:val="left"/>
        <w:tblInd w:w="-355" w:type="dxa"/>
        <w:tblLayout w:type="fixed"/>
        <w:tblCellMar>
          <w:top w:w="0" w:type="dxa"/>
          <w:left w:w="108" w:type="dxa"/>
          <w:bottom w:w="0" w:type="dxa"/>
          <w:right w:w="108" w:type="dxa"/>
        </w:tblCellMar>
        <w:tblLook w:val="0000" w:noHBand="0" w:noVBand="0" w:firstColumn="0" w:lastRow="0" w:lastColumn="0" w:firstRow="0"/>
      </w:tblPr>
      <w:tblGrid>
        <w:gridCol w:w="6170"/>
        <w:gridCol w:w="1984"/>
        <w:gridCol w:w="2132"/>
      </w:tblGrid>
      <w:tr>
        <w:trPr/>
        <w:tc>
          <w:tcPr>
            <w:tcW w:w="10286" w:type="dxa"/>
            <w:gridSpan w:val="3"/>
            <w:tcBorders>
              <w:top w:val="single" w:sz="4" w:space="0" w:color="000000"/>
              <w:left w:val="single" w:sz="4" w:space="0" w:color="000000"/>
              <w:bottom w:val="single" w:sz="4" w:space="0" w:color="000000"/>
              <w:right w:val="single" w:sz="4" w:space="0" w:color="000000"/>
            </w:tcBorders>
            <w:shd w:color="auto" w:fill="B3B3B3" w:val="clear"/>
          </w:tcPr>
          <w:p>
            <w:pPr>
              <w:pStyle w:val="Normal"/>
              <w:keepNext w:val="true"/>
              <w:widowControl w:val="false"/>
              <w:pBdr/>
              <w:ind w:hanging="2"/>
              <w:jc w:val="center"/>
              <w:rPr>
                <w:b/>
                <w:b/>
                <w:color w:val="000000"/>
              </w:rPr>
            </w:pPr>
            <w:r>
              <w:rPr>
                <w:b/>
                <w:color w:val="000000"/>
              </w:rPr>
              <w:t>CRITERIOS DE:</w:t>
            </w:r>
          </w:p>
        </w:tc>
      </w:tr>
      <w:tr>
        <w:trPr/>
        <w:tc>
          <w:tcPr>
            <w:tcW w:w="6170" w:type="dxa"/>
            <w:tcBorders>
              <w:top w:val="single" w:sz="4" w:space="0" w:color="000000"/>
              <w:left w:val="single" w:sz="4" w:space="0" w:color="000000"/>
              <w:bottom w:val="single" w:sz="4" w:space="0" w:color="000000"/>
            </w:tcBorders>
            <w:shd w:color="auto" w:fill="D9D9D9" w:val="clear"/>
          </w:tcPr>
          <w:p>
            <w:pPr>
              <w:pStyle w:val="Normal"/>
              <w:widowControl w:val="false"/>
              <w:pBdr/>
              <w:ind w:hanging="2"/>
              <w:jc w:val="center"/>
              <w:rPr>
                <w:b/>
                <w:b/>
                <w:color w:val="000000"/>
              </w:rPr>
            </w:pPr>
            <w:r>
              <w:rPr>
                <w:b/>
                <w:color w:val="000000"/>
              </w:rPr>
              <w:t>EVALUACIÓN R.A. 1</w:t>
            </w:r>
          </w:p>
        </w:tc>
        <w:tc>
          <w:tcPr>
            <w:tcW w:w="1984" w:type="dxa"/>
            <w:tcBorders>
              <w:top w:val="single" w:sz="4" w:space="0" w:color="000000"/>
              <w:left w:val="single" w:sz="4" w:space="0" w:color="000000"/>
              <w:bottom w:val="single" w:sz="4" w:space="0" w:color="000000"/>
            </w:tcBorders>
            <w:shd w:color="auto" w:fill="D9D9D9" w:val="clear"/>
          </w:tcPr>
          <w:p>
            <w:pPr>
              <w:pStyle w:val="Normal"/>
              <w:widowControl w:val="false"/>
              <w:pBdr/>
              <w:ind w:hanging="2"/>
              <w:rPr>
                <w:b/>
                <w:b/>
                <w:color w:val="000000"/>
              </w:rPr>
            </w:pPr>
            <w:r>
              <w:rPr>
                <w:b/>
                <w:color w:val="000000"/>
              </w:rPr>
              <w:t>C</w:t>
            </w:r>
            <w:r>
              <w:rPr>
                <w:b/>
                <w:color w:val="000000"/>
                <w:sz w:val="20"/>
                <w:szCs w:val="20"/>
              </w:rPr>
              <w:t>ALIFICACIÓN</w:t>
            </w:r>
          </w:p>
        </w:tc>
        <w:tc>
          <w:tcPr>
            <w:tcW w:w="2132" w:type="dxa"/>
            <w:tcBorders>
              <w:top w:val="single" w:sz="4" w:space="0" w:color="000000"/>
              <w:left w:val="single" w:sz="4" w:space="0" w:color="000000"/>
              <w:bottom w:val="single" w:sz="4" w:space="0" w:color="000000"/>
              <w:right w:val="single" w:sz="4" w:space="0" w:color="000000"/>
            </w:tcBorders>
            <w:shd w:color="auto" w:fill="D9D9D9" w:val="clear"/>
          </w:tcPr>
          <w:p>
            <w:pPr>
              <w:pStyle w:val="Normal"/>
              <w:widowControl w:val="false"/>
              <w:pBdr/>
              <w:ind w:hanging="2"/>
              <w:rPr>
                <w:b/>
                <w:b/>
                <w:color w:val="000000"/>
                <w:sz w:val="20"/>
                <w:szCs w:val="20"/>
              </w:rPr>
            </w:pPr>
            <w:r>
              <w:rPr>
                <w:b/>
                <w:color w:val="000000"/>
                <w:sz w:val="20"/>
                <w:szCs w:val="20"/>
              </w:rPr>
              <w:t>RECUPERACIÓN</w:t>
            </w:r>
          </w:p>
        </w:tc>
      </w:tr>
      <w:tr>
        <w:trPr/>
        <w:tc>
          <w:tcPr>
            <w:tcW w:w="6170" w:type="dxa"/>
            <w:tcBorders>
              <w:top w:val="single" w:sz="4" w:space="0" w:color="000000"/>
              <w:left w:val="single" w:sz="4" w:space="0" w:color="000000"/>
              <w:bottom w:val="single" w:sz="4" w:space="0" w:color="000000"/>
            </w:tcBorders>
          </w:tcPr>
          <w:p>
            <w:pPr>
              <w:pStyle w:val="Normal"/>
              <w:widowControl w:val="false"/>
              <w:numPr>
                <w:ilvl w:val="0"/>
                <w:numId w:val="16"/>
              </w:numPr>
              <w:pBdr/>
              <w:ind w:left="0" w:hanging="2"/>
              <w:jc w:val="both"/>
              <w:rPr>
                <w:color w:val="000000"/>
                <w:sz w:val="22"/>
                <w:szCs w:val="22"/>
              </w:rPr>
            </w:pPr>
            <w:r>
              <w:rPr>
                <w:color w:val="000000"/>
                <w:sz w:val="22"/>
                <w:szCs w:val="22"/>
              </w:rPr>
              <w:t>A) Se han identificado los tipos de instituciones empresariales, describiendo sus características jurídicas, funcionales y organizativas.</w:t>
            </w:r>
          </w:p>
          <w:p>
            <w:pPr>
              <w:pStyle w:val="Normal"/>
              <w:widowControl w:val="false"/>
              <w:numPr>
                <w:ilvl w:val="0"/>
                <w:numId w:val="16"/>
              </w:numPr>
              <w:pBdr/>
              <w:ind w:left="0" w:hanging="2"/>
              <w:jc w:val="both"/>
              <w:rPr>
                <w:color w:val="000000"/>
                <w:sz w:val="22"/>
                <w:szCs w:val="22"/>
              </w:rPr>
            </w:pPr>
            <w:r>
              <w:rPr>
                <w:color w:val="000000"/>
                <w:sz w:val="22"/>
                <w:szCs w:val="22"/>
              </w:rPr>
              <w:t>B) Se han relacionado las funciones tipo de la organización: dirección, planificación, organización, ejecución y control.</w:t>
            </w:r>
          </w:p>
          <w:p>
            <w:pPr>
              <w:pStyle w:val="Normal"/>
              <w:widowControl w:val="false"/>
              <w:numPr>
                <w:ilvl w:val="0"/>
                <w:numId w:val="16"/>
              </w:numPr>
              <w:pBdr/>
              <w:ind w:left="0" w:hanging="2"/>
              <w:jc w:val="both"/>
              <w:rPr>
                <w:color w:val="000000"/>
                <w:sz w:val="22"/>
                <w:szCs w:val="22"/>
              </w:rPr>
            </w:pPr>
            <w:r>
              <w:rPr>
                <w:color w:val="000000"/>
                <w:sz w:val="22"/>
                <w:szCs w:val="22"/>
              </w:rPr>
              <w:t>C) Se han relacionado los distintos estilos de mando de una organización con el clima laboral que generan</w:t>
            </w:r>
          </w:p>
          <w:p>
            <w:pPr>
              <w:pStyle w:val="Normal"/>
              <w:widowControl w:val="false"/>
              <w:numPr>
                <w:ilvl w:val="0"/>
                <w:numId w:val="16"/>
              </w:numPr>
              <w:pBdr/>
              <w:ind w:left="0" w:hanging="2"/>
              <w:jc w:val="both"/>
              <w:rPr>
                <w:color w:val="000000"/>
                <w:sz w:val="22"/>
                <w:szCs w:val="22"/>
              </w:rPr>
            </w:pPr>
            <w:r>
              <w:rPr>
                <w:color w:val="000000"/>
                <w:sz w:val="22"/>
                <w:szCs w:val="22"/>
              </w:rPr>
              <w:t>D) Se ha identificado la estructura organizativa para una asistencia o la prestación de un servicio de calidad.</w:t>
            </w:r>
          </w:p>
          <w:p>
            <w:pPr>
              <w:pStyle w:val="Normal"/>
              <w:widowControl w:val="false"/>
              <w:numPr>
                <w:ilvl w:val="0"/>
                <w:numId w:val="16"/>
              </w:numPr>
              <w:pBdr/>
              <w:ind w:left="0" w:hanging="2"/>
              <w:jc w:val="both"/>
              <w:rPr>
                <w:color w:val="000000"/>
                <w:sz w:val="22"/>
                <w:szCs w:val="22"/>
              </w:rPr>
            </w:pPr>
            <w:r>
              <w:rPr>
                <w:color w:val="000000"/>
                <w:sz w:val="22"/>
                <w:szCs w:val="22"/>
              </w:rPr>
              <w:t>E) Se han definido los canales formales de comunicación en la organización a partir de su organigrama.</w:t>
            </w:r>
          </w:p>
          <w:p>
            <w:pPr>
              <w:pStyle w:val="Normal"/>
              <w:widowControl w:val="false"/>
              <w:numPr>
                <w:ilvl w:val="0"/>
                <w:numId w:val="16"/>
              </w:numPr>
              <w:pBdr/>
              <w:ind w:left="0" w:hanging="2"/>
              <w:jc w:val="both"/>
              <w:rPr>
                <w:color w:val="000000"/>
                <w:sz w:val="22"/>
                <w:szCs w:val="22"/>
              </w:rPr>
            </w:pPr>
            <w:r>
              <w:rPr>
                <w:color w:val="000000"/>
                <w:sz w:val="22"/>
                <w:szCs w:val="22"/>
              </w:rPr>
              <w:t>F) Se han diferenciado los procesos de comunicación internos formales e informales.</w:t>
            </w:r>
          </w:p>
          <w:p>
            <w:pPr>
              <w:pStyle w:val="Normal"/>
              <w:widowControl w:val="false"/>
              <w:numPr>
                <w:ilvl w:val="0"/>
                <w:numId w:val="16"/>
              </w:numPr>
              <w:pBdr/>
              <w:ind w:left="0" w:hanging="2"/>
              <w:jc w:val="both"/>
              <w:rPr>
                <w:color w:val="000000"/>
                <w:sz w:val="22"/>
                <w:szCs w:val="22"/>
              </w:rPr>
            </w:pPr>
            <w:r>
              <w:rPr>
                <w:color w:val="000000"/>
                <w:sz w:val="22"/>
                <w:szCs w:val="22"/>
              </w:rPr>
              <w:t>G) Se ha valorado la influencia de la comunicación informal y las cadenas de rumores en las organizaciones, y su repercusión en las actuaciones del servicio de información prestado.</w:t>
            </w:r>
          </w:p>
          <w:p>
            <w:pPr>
              <w:pStyle w:val="Normal"/>
              <w:widowControl w:val="false"/>
              <w:numPr>
                <w:ilvl w:val="0"/>
                <w:numId w:val="16"/>
              </w:numPr>
              <w:pBdr/>
              <w:ind w:left="0" w:hanging="2"/>
              <w:jc w:val="both"/>
              <w:rPr>
                <w:color w:val="000000"/>
                <w:sz w:val="22"/>
                <w:szCs w:val="22"/>
              </w:rPr>
            </w:pPr>
            <w:r>
              <w:rPr>
                <w:color w:val="000000"/>
                <w:sz w:val="22"/>
                <w:szCs w:val="22"/>
              </w:rPr>
              <w:t>H) Se ha relacionado el proceso de demanda de información de acuerdo con el tipo de cliente, interno y externo, que puede intervenir en esta.</w:t>
            </w:r>
          </w:p>
          <w:p>
            <w:pPr>
              <w:pStyle w:val="Normal"/>
              <w:widowControl w:val="false"/>
              <w:numPr>
                <w:ilvl w:val="0"/>
                <w:numId w:val="16"/>
              </w:numPr>
              <w:pBdr/>
              <w:ind w:left="0" w:hanging="2"/>
              <w:jc w:val="both"/>
              <w:rPr>
                <w:color w:val="000000"/>
                <w:sz w:val="22"/>
                <w:szCs w:val="22"/>
              </w:rPr>
            </w:pPr>
            <w:r>
              <w:rPr>
                <w:color w:val="000000"/>
                <w:sz w:val="22"/>
                <w:szCs w:val="22"/>
              </w:rPr>
              <w:t>I) Se ha valorado la importancia de la transmisión de la imagen corporativa de la organización en las comunicaciones formales.</w:t>
            </w:r>
          </w:p>
          <w:p>
            <w:pPr>
              <w:pStyle w:val="Normal"/>
              <w:widowControl w:val="false"/>
              <w:numPr>
                <w:ilvl w:val="0"/>
                <w:numId w:val="16"/>
              </w:numPr>
              <w:pBdr/>
              <w:ind w:left="0" w:hanging="2"/>
              <w:jc w:val="both"/>
              <w:rPr>
                <w:color w:val="000000"/>
                <w:sz w:val="22"/>
                <w:szCs w:val="22"/>
              </w:rPr>
            </w:pPr>
            <w:r>
              <w:rPr>
                <w:color w:val="000000"/>
                <w:sz w:val="22"/>
                <w:szCs w:val="22"/>
              </w:rPr>
              <w:t>J) Se han identificado los aspectos más significativos que transmiten la imagen corporativa en las comunicaciones institucionales y promocionales de la organización.</w:t>
            </w:r>
          </w:p>
        </w:tc>
        <w:tc>
          <w:tcPr>
            <w:tcW w:w="1984" w:type="dxa"/>
            <w:tcBorders>
              <w:top w:val="single" w:sz="4" w:space="0" w:color="000000"/>
              <w:left w:val="single" w:sz="4" w:space="0" w:color="000000"/>
              <w:bottom w:val="single" w:sz="4" w:space="0" w:color="000000"/>
            </w:tcBorders>
          </w:tcPr>
          <w:p>
            <w:pPr>
              <w:pStyle w:val="Normal"/>
              <w:widowControl w:val="false"/>
              <w:ind w:hanging="2"/>
              <w:rPr>
                <w:sz w:val="22"/>
                <w:szCs w:val="22"/>
              </w:rPr>
            </w:pPr>
            <w:r>
              <w:rPr>
                <w:sz w:val="22"/>
                <w:szCs w:val="22"/>
              </w:rPr>
              <w:t>Los que se han detallado al inicio de esta programación.</w:t>
            </w:r>
          </w:p>
        </w:tc>
        <w:tc>
          <w:tcPr>
            <w:tcW w:w="2132" w:type="dxa"/>
            <w:tcBorders>
              <w:top w:val="single" w:sz="4" w:space="0" w:color="000000"/>
              <w:left w:val="single" w:sz="4" w:space="0" w:color="000000"/>
              <w:bottom w:val="single" w:sz="4" w:space="0" w:color="000000"/>
              <w:right w:val="single" w:sz="4" w:space="0" w:color="000000"/>
            </w:tcBorders>
          </w:tcPr>
          <w:p>
            <w:pPr>
              <w:pStyle w:val="Normal"/>
              <w:widowControl w:val="false"/>
              <w:ind w:hanging="2"/>
              <w:rPr>
                <w:sz w:val="22"/>
                <w:szCs w:val="22"/>
              </w:rPr>
            </w:pPr>
            <w:r>
              <w:rPr>
                <w:sz w:val="22"/>
                <w:szCs w:val="22"/>
              </w:rPr>
              <w:t>Los que se han detallado al inicio de esta programación.</w:t>
            </w:r>
          </w:p>
        </w:tc>
      </w:tr>
    </w:tbl>
    <w:p>
      <w:pPr>
        <w:pStyle w:val="Normal"/>
        <w:ind w:hanging="2"/>
        <w:rPr/>
      </w:pPr>
      <w:r>
        <w:rPr/>
      </w:r>
    </w:p>
    <w:p>
      <w:pPr>
        <w:pStyle w:val="Normal"/>
        <w:ind w:hanging="2"/>
        <w:rPr/>
      </w:pPr>
      <w:r>
        <w:rPr/>
      </w:r>
      <w:r>
        <w:br w:type="page"/>
      </w:r>
    </w:p>
    <w:tbl>
      <w:tblPr>
        <w:tblStyle w:val="afffffff"/>
        <w:tblW w:w="10354" w:type="dxa"/>
        <w:jc w:val="left"/>
        <w:tblInd w:w="-355" w:type="dxa"/>
        <w:tblLayout w:type="fixed"/>
        <w:tblCellMar>
          <w:top w:w="0" w:type="dxa"/>
          <w:left w:w="108" w:type="dxa"/>
          <w:bottom w:w="0" w:type="dxa"/>
          <w:right w:w="108" w:type="dxa"/>
        </w:tblCellMar>
        <w:tblLook w:val="0000" w:noHBand="0" w:noVBand="0" w:firstColumn="0" w:lastRow="0" w:lastColumn="0" w:firstRow="0"/>
      </w:tblPr>
      <w:tblGrid>
        <w:gridCol w:w="2479"/>
        <w:gridCol w:w="5251"/>
        <w:gridCol w:w="2624"/>
      </w:tblGrid>
      <w:tr>
        <w:trPr/>
        <w:tc>
          <w:tcPr>
            <w:tcW w:w="2479" w:type="dxa"/>
            <w:tcBorders>
              <w:top w:val="single" w:sz="4" w:space="0" w:color="000000"/>
              <w:left w:val="single" w:sz="4" w:space="0" w:color="000000"/>
              <w:bottom w:val="single" w:sz="4" w:space="0" w:color="000000"/>
            </w:tcBorders>
            <w:shd w:color="auto" w:fill="D9D9D9" w:val="clear"/>
            <w:vAlign w:val="center"/>
          </w:tcPr>
          <w:p>
            <w:pPr>
              <w:pStyle w:val="Normal"/>
              <w:pageBreakBefore/>
              <w:widowControl w:val="false"/>
              <w:ind w:hanging="2"/>
              <w:jc w:val="center"/>
              <w:rPr/>
            </w:pPr>
            <w:r>
              <w:rPr>
                <w:b/>
              </w:rPr>
              <w:t>UD 3</w:t>
            </w:r>
          </w:p>
        </w:tc>
        <w:tc>
          <w:tcPr>
            <w:tcW w:w="5251" w:type="dxa"/>
            <w:tcBorders>
              <w:top w:val="single" w:sz="4" w:space="0" w:color="000000"/>
              <w:left w:val="single" w:sz="4" w:space="0" w:color="000000"/>
              <w:bottom w:val="single" w:sz="4" w:space="0" w:color="000000"/>
            </w:tcBorders>
            <w:shd w:color="auto" w:fill="D9D9D9" w:val="clear"/>
          </w:tcPr>
          <w:p>
            <w:pPr>
              <w:pStyle w:val="Normal"/>
              <w:widowControl w:val="false"/>
              <w:ind w:hanging="2"/>
              <w:jc w:val="center"/>
              <w:rPr/>
            </w:pPr>
            <w:r>
              <w:rPr>
                <w:b/>
              </w:rPr>
              <w:t>Documentos escritos al servicio de la documentación empresarial.</w:t>
            </w:r>
          </w:p>
        </w:tc>
        <w:tc>
          <w:tcPr>
            <w:tcW w:w="2624" w:type="dxa"/>
            <w:tcBorders>
              <w:top w:val="single" w:sz="4" w:space="0" w:color="000000"/>
              <w:left w:val="single" w:sz="4" w:space="0" w:color="000000"/>
              <w:bottom w:val="single" w:sz="4" w:space="0" w:color="000000"/>
              <w:right w:val="single" w:sz="4" w:space="0" w:color="000000"/>
            </w:tcBorders>
            <w:shd w:color="auto" w:fill="D9D9D9" w:val="clear"/>
          </w:tcPr>
          <w:p>
            <w:pPr>
              <w:pStyle w:val="Normal"/>
              <w:keepNext w:val="true"/>
              <w:widowControl w:val="false"/>
              <w:pBdr/>
              <w:ind w:hanging="2"/>
              <w:jc w:val="center"/>
              <w:rPr>
                <w:b/>
                <w:b/>
                <w:color w:val="000000"/>
                <w:u w:val="single"/>
              </w:rPr>
            </w:pPr>
            <w:r>
              <w:rPr>
                <w:b/>
                <w:color w:val="000000"/>
              </w:rPr>
              <w:t>Nº de horas previstas</w:t>
            </w:r>
          </w:p>
          <w:p>
            <w:pPr>
              <w:pStyle w:val="Normal"/>
              <w:widowControl w:val="false"/>
              <w:ind w:hanging="2"/>
              <w:jc w:val="center"/>
              <w:rPr/>
            </w:pPr>
            <w:r>
              <w:rPr>
                <w:b/>
              </w:rPr>
              <w:t>28/28</w:t>
            </w:r>
          </w:p>
        </w:tc>
      </w:tr>
    </w:tbl>
    <w:p>
      <w:pPr>
        <w:pStyle w:val="Normal"/>
        <w:keepNext w:val="true"/>
        <w:pBdr/>
        <w:ind w:hanging="2"/>
        <w:jc w:val="both"/>
        <w:rPr>
          <w:color w:val="000000"/>
        </w:rPr>
      </w:pPr>
      <w:r>
        <w:rPr>
          <w:color w:val="000000"/>
        </w:rPr>
      </w:r>
    </w:p>
    <w:tbl>
      <w:tblPr>
        <w:tblStyle w:val="afffffff0"/>
        <w:tblW w:w="10500" w:type="dxa"/>
        <w:jc w:val="left"/>
        <w:tblInd w:w="-528" w:type="dxa"/>
        <w:tblLayout w:type="fixed"/>
        <w:tblCellMar>
          <w:top w:w="0" w:type="dxa"/>
          <w:left w:w="108" w:type="dxa"/>
          <w:bottom w:w="0" w:type="dxa"/>
          <w:right w:w="108" w:type="dxa"/>
        </w:tblCellMar>
        <w:tblLook w:val="0000" w:noHBand="0" w:noVBand="0" w:firstColumn="0" w:lastRow="0" w:lastColumn="0" w:firstRow="0"/>
      </w:tblPr>
      <w:tblGrid>
        <w:gridCol w:w="10500"/>
      </w:tblGrid>
      <w:tr>
        <w:trPr>
          <w:trHeight w:val="8268" w:hRule="atLeast"/>
        </w:trPr>
        <w:tc>
          <w:tcPr>
            <w:tcW w:w="10500"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pBdr/>
              <w:ind w:hanging="2"/>
              <w:jc w:val="both"/>
              <w:rPr>
                <w:color w:val="000000"/>
              </w:rPr>
            </w:pPr>
            <w:r>
              <w:rPr>
                <w:color w:val="000000"/>
              </w:rPr>
            </w:r>
          </w:p>
          <w:p>
            <w:pPr>
              <w:pStyle w:val="Normal"/>
              <w:keepNext w:val="true"/>
              <w:widowControl w:val="false"/>
              <w:pBdr/>
              <w:ind w:hanging="2"/>
              <w:jc w:val="both"/>
              <w:rPr>
                <w:b/>
                <w:b/>
                <w:color w:val="000000"/>
                <w:u w:val="single"/>
              </w:rPr>
            </w:pPr>
            <w:r>
              <w:rPr>
                <w:b/>
                <w:color w:val="000000"/>
                <w:u w:val="single"/>
              </w:rPr>
              <w:t>Contenidos</w:t>
            </w:r>
            <w:r>
              <w:rPr>
                <w:b/>
                <w:color w:val="000000"/>
              </w:rPr>
              <w:t>:</w:t>
            </w:r>
          </w:p>
          <w:p>
            <w:pPr>
              <w:pStyle w:val="Normal"/>
              <w:widowControl w:val="false"/>
              <w:ind w:hanging="2"/>
              <w:rPr/>
            </w:pPr>
            <w:r>
              <w:rPr/>
            </w:r>
          </w:p>
          <w:p>
            <w:pPr>
              <w:pStyle w:val="Normal"/>
              <w:widowControl w:val="false"/>
              <w:numPr>
                <w:ilvl w:val="0"/>
                <w:numId w:val="22"/>
              </w:numPr>
              <w:ind w:left="0" w:hanging="2"/>
              <w:jc w:val="both"/>
              <w:rPr/>
            </w:pPr>
            <w:r>
              <w:rPr/>
              <w:t>Comunicación escrita. Características y requisitos.</w:t>
            </w:r>
          </w:p>
          <w:p>
            <w:pPr>
              <w:pStyle w:val="Normal"/>
              <w:widowControl w:val="false"/>
              <w:numPr>
                <w:ilvl w:val="1"/>
                <w:numId w:val="22"/>
              </w:numPr>
              <w:ind w:left="0" w:hanging="2"/>
              <w:jc w:val="both"/>
              <w:rPr/>
            </w:pPr>
            <w:r>
              <w:rPr/>
              <w:t>Ventajas e inconvenientes de la comunicación escrita. Errores que se cometen.</w:t>
            </w:r>
          </w:p>
          <w:p>
            <w:pPr>
              <w:pStyle w:val="Normal"/>
              <w:widowControl w:val="false"/>
              <w:numPr>
                <w:ilvl w:val="1"/>
                <w:numId w:val="22"/>
              </w:numPr>
              <w:ind w:left="0" w:hanging="2"/>
              <w:jc w:val="both"/>
              <w:rPr/>
            </w:pPr>
            <w:r>
              <w:rPr/>
              <w:t>Etapas para la elaboración y estilos de  redacción. Técnicas de comunicación escrita.</w:t>
            </w:r>
          </w:p>
          <w:p>
            <w:pPr>
              <w:pStyle w:val="Normal"/>
              <w:widowControl w:val="false"/>
              <w:numPr>
                <w:ilvl w:val="0"/>
                <w:numId w:val="22"/>
              </w:numPr>
              <w:ind w:left="0" w:hanging="2"/>
              <w:jc w:val="both"/>
              <w:rPr/>
            </w:pPr>
            <w:r>
              <w:rPr/>
              <w:t>Normas gramaticales y ortográficas.</w:t>
            </w:r>
          </w:p>
          <w:p>
            <w:pPr>
              <w:pStyle w:val="Normal"/>
              <w:widowControl w:val="false"/>
              <w:numPr>
                <w:ilvl w:val="1"/>
                <w:numId w:val="22"/>
              </w:numPr>
              <w:ind w:left="0" w:hanging="2"/>
              <w:jc w:val="both"/>
              <w:rPr/>
            </w:pPr>
            <w:r>
              <w:rPr/>
              <w:t>Gramática.</w:t>
            </w:r>
          </w:p>
          <w:p>
            <w:pPr>
              <w:pStyle w:val="Normal"/>
              <w:widowControl w:val="false"/>
              <w:numPr>
                <w:ilvl w:val="1"/>
                <w:numId w:val="22"/>
              </w:numPr>
              <w:ind w:left="0" w:hanging="2"/>
              <w:jc w:val="both"/>
              <w:rPr/>
            </w:pPr>
            <w:r>
              <w:rPr/>
              <w:t>Ortografía.</w:t>
            </w:r>
          </w:p>
          <w:p>
            <w:pPr>
              <w:pStyle w:val="Normal"/>
              <w:widowControl w:val="false"/>
              <w:numPr>
                <w:ilvl w:val="1"/>
                <w:numId w:val="22"/>
              </w:numPr>
              <w:ind w:left="0" w:hanging="2"/>
              <w:jc w:val="both"/>
              <w:rPr/>
            </w:pPr>
            <w:r>
              <w:rPr/>
              <w:t>Signos de puntuación.</w:t>
            </w:r>
          </w:p>
          <w:p>
            <w:pPr>
              <w:pStyle w:val="Normal"/>
              <w:widowControl w:val="false"/>
              <w:numPr>
                <w:ilvl w:val="1"/>
                <w:numId w:val="22"/>
              </w:numPr>
              <w:ind w:left="0" w:hanging="2"/>
              <w:jc w:val="both"/>
              <w:rPr/>
            </w:pPr>
            <w:r>
              <w:rPr/>
              <w:t>Párrafos y formato de las páginas.</w:t>
            </w:r>
          </w:p>
          <w:p>
            <w:pPr>
              <w:pStyle w:val="Normal"/>
              <w:widowControl w:val="false"/>
              <w:numPr>
                <w:ilvl w:val="0"/>
                <w:numId w:val="22"/>
              </w:numPr>
              <w:ind w:left="0" w:hanging="2"/>
              <w:jc w:val="both"/>
              <w:rPr/>
            </w:pPr>
            <w:r>
              <w:rPr/>
              <w:t>Siglas y abreviaturas.</w:t>
            </w:r>
          </w:p>
          <w:p>
            <w:pPr>
              <w:pStyle w:val="Normal"/>
              <w:widowControl w:val="false"/>
              <w:numPr>
                <w:ilvl w:val="0"/>
                <w:numId w:val="22"/>
              </w:numPr>
              <w:ind w:left="0" w:hanging="2"/>
              <w:jc w:val="both"/>
              <w:rPr/>
            </w:pPr>
            <w:r>
              <w:rPr/>
              <w:t>Redacción mediante herramientas de tratamiento de textos.</w:t>
            </w:r>
          </w:p>
          <w:p>
            <w:pPr>
              <w:pStyle w:val="Normal"/>
              <w:widowControl w:val="false"/>
              <w:numPr>
                <w:ilvl w:val="0"/>
                <w:numId w:val="22"/>
              </w:numPr>
              <w:ind w:left="0" w:hanging="2"/>
              <w:jc w:val="both"/>
              <w:rPr/>
            </w:pPr>
            <w:r>
              <w:rPr/>
              <w:t>Herramientas para corrección de textos.</w:t>
            </w:r>
          </w:p>
          <w:p>
            <w:pPr>
              <w:pStyle w:val="Normal"/>
              <w:widowControl w:val="false"/>
              <w:numPr>
                <w:ilvl w:val="0"/>
                <w:numId w:val="22"/>
              </w:numPr>
              <w:ind w:left="0" w:hanging="2"/>
              <w:jc w:val="both"/>
              <w:rPr/>
            </w:pPr>
            <w:r>
              <w:rPr/>
              <w:t>Elementos utilizados en la documentación profesional. El sobre. El papel</w:t>
            </w:r>
          </w:p>
          <w:p>
            <w:pPr>
              <w:pStyle w:val="Normal"/>
              <w:widowControl w:val="false"/>
              <w:numPr>
                <w:ilvl w:val="0"/>
                <w:numId w:val="22"/>
              </w:numPr>
              <w:ind w:left="0" w:hanging="2"/>
              <w:jc w:val="both"/>
              <w:rPr/>
            </w:pPr>
            <w:r>
              <w:rPr/>
              <w:t>Técnicas de transmisión de la imagen corporativa en los escritos. Papelería corporativa.</w:t>
            </w:r>
          </w:p>
          <w:p>
            <w:pPr>
              <w:pStyle w:val="Normal"/>
              <w:widowControl w:val="false"/>
              <w:numPr>
                <w:ilvl w:val="0"/>
                <w:numId w:val="22"/>
              </w:numPr>
              <w:ind w:left="0" w:hanging="2"/>
              <w:jc w:val="both"/>
              <w:rPr/>
            </w:pPr>
            <w:r>
              <w:rPr/>
              <w:t>La comunicación escrita en la empresa. Normas</w:t>
            </w:r>
          </w:p>
          <w:p>
            <w:pPr>
              <w:pStyle w:val="Normal"/>
              <w:widowControl w:val="false"/>
              <w:numPr>
                <w:ilvl w:val="0"/>
                <w:numId w:val="22"/>
              </w:numPr>
              <w:ind w:left="0" w:hanging="2"/>
              <w:jc w:val="both"/>
              <w:rPr/>
            </w:pPr>
            <w:r>
              <w:rPr/>
              <w:t>Documentos en la comunicación comercial y empresarial.</w:t>
            </w:r>
          </w:p>
          <w:p>
            <w:pPr>
              <w:pStyle w:val="Normal"/>
              <w:widowControl w:val="false"/>
              <w:numPr>
                <w:ilvl w:val="1"/>
                <w:numId w:val="22"/>
              </w:numPr>
              <w:ind w:left="0" w:hanging="2"/>
              <w:jc w:val="both"/>
              <w:rPr/>
            </w:pPr>
            <w:r>
              <w:rPr/>
              <w:t>Documentos de la comunicación interna empresarial.</w:t>
            </w:r>
          </w:p>
          <w:p>
            <w:pPr>
              <w:pStyle w:val="Normal"/>
              <w:widowControl w:val="false"/>
              <w:numPr>
                <w:ilvl w:val="1"/>
                <w:numId w:val="22"/>
              </w:numPr>
              <w:ind w:left="0" w:hanging="2"/>
              <w:jc w:val="both"/>
              <w:rPr/>
            </w:pPr>
            <w:r>
              <w:rPr/>
              <w:t>Documentos de la comunicación externa empresarial con carácter comercial.</w:t>
            </w:r>
          </w:p>
          <w:p>
            <w:pPr>
              <w:pStyle w:val="Normal"/>
              <w:widowControl w:val="false"/>
              <w:numPr>
                <w:ilvl w:val="1"/>
                <w:numId w:val="22"/>
              </w:numPr>
              <w:ind w:left="0" w:hanging="2"/>
              <w:jc w:val="both"/>
              <w:rPr/>
            </w:pPr>
            <w:r>
              <w:rPr/>
              <w:t>Documentos de la comunicación externa sin carácter comercial.</w:t>
            </w:r>
          </w:p>
          <w:p>
            <w:pPr>
              <w:pStyle w:val="Normal"/>
              <w:widowControl w:val="false"/>
              <w:numPr>
                <w:ilvl w:val="1"/>
                <w:numId w:val="22"/>
              </w:numPr>
              <w:ind w:left="0" w:hanging="2"/>
              <w:jc w:val="both"/>
              <w:rPr/>
            </w:pPr>
            <w:r>
              <w:rPr/>
              <w:t>Textos protocolarios en el ámbito empresarial.</w:t>
            </w:r>
          </w:p>
          <w:p>
            <w:pPr>
              <w:pStyle w:val="Normal"/>
              <w:widowControl w:val="false"/>
              <w:numPr>
                <w:ilvl w:val="0"/>
                <w:numId w:val="22"/>
              </w:numPr>
              <w:ind w:left="0" w:hanging="2"/>
              <w:jc w:val="both"/>
              <w:rPr/>
            </w:pPr>
            <w:r>
              <w:rPr/>
              <w:t>Documentos relacionados con la Administración Pública.</w:t>
            </w:r>
          </w:p>
          <w:p>
            <w:pPr>
              <w:pStyle w:val="Normal"/>
              <w:widowControl w:val="false"/>
              <w:numPr>
                <w:ilvl w:val="1"/>
                <w:numId w:val="22"/>
              </w:numPr>
              <w:ind w:left="0" w:hanging="2"/>
              <w:jc w:val="both"/>
              <w:rPr/>
            </w:pPr>
            <w:r>
              <w:rPr/>
              <w:t>Solicitud o instancia.</w:t>
            </w:r>
          </w:p>
          <w:p>
            <w:pPr>
              <w:pStyle w:val="Normal"/>
              <w:widowControl w:val="false"/>
              <w:numPr>
                <w:ilvl w:val="1"/>
                <w:numId w:val="22"/>
              </w:numPr>
              <w:ind w:left="0" w:hanging="2"/>
              <w:jc w:val="both"/>
              <w:rPr/>
            </w:pPr>
            <w:r>
              <w:rPr/>
              <w:t>Denuncia.</w:t>
            </w:r>
          </w:p>
          <w:p>
            <w:pPr>
              <w:pStyle w:val="Normal"/>
              <w:widowControl w:val="false"/>
              <w:numPr>
                <w:ilvl w:val="1"/>
                <w:numId w:val="22"/>
              </w:numPr>
              <w:ind w:left="0" w:hanging="2"/>
              <w:jc w:val="both"/>
              <w:rPr/>
            </w:pPr>
            <w:r>
              <w:rPr/>
              <w:t>Alegaciones y recursos.</w:t>
            </w:r>
          </w:p>
          <w:p>
            <w:pPr>
              <w:pStyle w:val="Normal"/>
              <w:widowControl w:val="false"/>
              <w:numPr>
                <w:ilvl w:val="0"/>
                <w:numId w:val="22"/>
              </w:numPr>
              <w:ind w:left="0" w:hanging="2"/>
              <w:jc w:val="both"/>
              <w:rPr/>
            </w:pPr>
            <w:r>
              <w:rPr/>
              <w:t>Comunicación en las redes: Intranet, extranet e Internet. Blogs, redes sociales, chat y mensajería instantánea.</w:t>
            </w:r>
          </w:p>
          <w:p>
            <w:pPr>
              <w:pStyle w:val="Normal"/>
              <w:widowControl w:val="false"/>
              <w:numPr>
                <w:ilvl w:val="0"/>
                <w:numId w:val="22"/>
              </w:numPr>
              <w:ind w:left="0" w:hanging="2"/>
              <w:jc w:val="both"/>
              <w:rPr/>
            </w:pPr>
            <w:r>
              <w:rPr/>
              <w:t>La netiqueta en la red.</w:t>
            </w:r>
          </w:p>
          <w:p>
            <w:pPr>
              <w:pStyle w:val="Normal"/>
              <w:widowControl w:val="false"/>
              <w:numPr>
                <w:ilvl w:val="0"/>
                <w:numId w:val="22"/>
              </w:numPr>
              <w:ind w:left="0" w:hanging="2"/>
              <w:jc w:val="both"/>
              <w:rPr/>
            </w:pPr>
            <w:r>
              <w:rPr>
                <w:color w:val="000000"/>
              </w:rPr>
              <w:t>Publicación de documentos con herramientas de la web 2.0</w:t>
            </w:r>
          </w:p>
        </w:tc>
      </w:tr>
    </w:tbl>
    <w:p>
      <w:pPr>
        <w:pStyle w:val="Normal"/>
        <w:pBdr/>
        <w:ind w:hanging="2"/>
        <w:jc w:val="both"/>
        <w:rPr>
          <w:color w:val="000000"/>
        </w:rPr>
      </w:pPr>
      <w:r>
        <w:rPr>
          <w:color w:val="000000"/>
        </w:rPr>
      </w:r>
    </w:p>
    <w:p>
      <w:pPr>
        <w:pStyle w:val="Normal"/>
        <w:pBdr/>
        <w:ind w:hanging="2"/>
        <w:jc w:val="both"/>
        <w:rPr>
          <w:color w:val="000000"/>
        </w:rPr>
      </w:pPr>
      <w:r>
        <w:rPr>
          <w:color w:val="000000"/>
        </w:rPr>
      </w:r>
    </w:p>
    <w:p>
      <w:pPr>
        <w:pStyle w:val="Normal"/>
        <w:pBdr/>
        <w:ind w:hanging="2"/>
        <w:jc w:val="both"/>
        <w:rPr/>
      </w:pPr>
      <w:r>
        <w:rPr/>
      </w:r>
    </w:p>
    <w:p>
      <w:pPr>
        <w:pStyle w:val="Normal"/>
        <w:ind w:hanging="2"/>
        <w:rPr/>
      </w:pPr>
      <w:r>
        <w:rPr/>
      </w:r>
    </w:p>
    <w:tbl>
      <w:tblPr>
        <w:tblStyle w:val="afffffff1"/>
        <w:tblW w:w="10324" w:type="dxa"/>
        <w:jc w:val="left"/>
        <w:tblInd w:w="-355" w:type="dxa"/>
        <w:tblLayout w:type="fixed"/>
        <w:tblCellMar>
          <w:top w:w="0" w:type="dxa"/>
          <w:left w:w="108" w:type="dxa"/>
          <w:bottom w:w="0" w:type="dxa"/>
          <w:right w:w="108" w:type="dxa"/>
        </w:tblCellMar>
        <w:tblLook w:val="0000" w:noHBand="0" w:noVBand="0" w:firstColumn="0" w:lastRow="0" w:lastColumn="0" w:firstRow="0"/>
      </w:tblPr>
      <w:tblGrid>
        <w:gridCol w:w="6486"/>
        <w:gridCol w:w="1848"/>
        <w:gridCol w:w="1990"/>
      </w:tblGrid>
      <w:tr>
        <w:trPr/>
        <w:tc>
          <w:tcPr>
            <w:tcW w:w="6486" w:type="dxa"/>
            <w:tcBorders>
              <w:top w:val="single" w:sz="4" w:space="0" w:color="000000"/>
              <w:left w:val="single" w:sz="4" w:space="0" w:color="000000"/>
              <w:bottom w:val="single" w:sz="4" w:space="0" w:color="000000"/>
            </w:tcBorders>
            <w:vAlign w:val="center"/>
          </w:tcPr>
          <w:p>
            <w:pPr>
              <w:pStyle w:val="Normal"/>
              <w:keepNext w:val="true"/>
              <w:widowControl w:val="false"/>
              <w:pBdr/>
              <w:ind w:hanging="2"/>
              <w:jc w:val="center"/>
              <w:rPr>
                <w:b/>
                <w:b/>
                <w:color w:val="000000"/>
                <w:sz w:val="22"/>
                <w:szCs w:val="22"/>
                <w:u w:val="single"/>
              </w:rPr>
            </w:pPr>
            <w:r>
              <w:rPr>
                <w:b/>
                <w:color w:val="000000"/>
                <w:sz w:val="22"/>
                <w:szCs w:val="22"/>
                <w:u w:val="single"/>
              </w:rPr>
              <w:t>Actividades concretas a realizar</w:t>
            </w:r>
          </w:p>
        </w:tc>
        <w:tc>
          <w:tcPr>
            <w:tcW w:w="1848" w:type="dxa"/>
            <w:tcBorders>
              <w:top w:val="single" w:sz="4" w:space="0" w:color="000000"/>
              <w:left w:val="single" w:sz="4" w:space="0" w:color="000000"/>
              <w:bottom w:val="single" w:sz="4" w:space="0" w:color="000000"/>
            </w:tcBorders>
            <w:vAlign w:val="center"/>
          </w:tcPr>
          <w:p>
            <w:pPr>
              <w:pStyle w:val="Normal"/>
              <w:keepNext w:val="true"/>
              <w:widowControl w:val="false"/>
              <w:pBdr/>
              <w:ind w:hanging="2"/>
              <w:jc w:val="center"/>
              <w:rPr>
                <w:b/>
                <w:b/>
                <w:color w:val="000000"/>
                <w:sz w:val="22"/>
                <w:szCs w:val="22"/>
                <w:u w:val="single"/>
              </w:rPr>
            </w:pPr>
            <w:r>
              <w:rPr>
                <w:b/>
                <w:color w:val="000000"/>
                <w:sz w:val="22"/>
                <w:szCs w:val="22"/>
                <w:u w:val="single"/>
              </w:rPr>
              <w:t>Objetivos</w:t>
            </w:r>
          </w:p>
          <w:p>
            <w:pPr>
              <w:pStyle w:val="Normal"/>
              <w:keepNext w:val="true"/>
              <w:widowControl w:val="false"/>
              <w:pBdr/>
              <w:ind w:hanging="2"/>
              <w:jc w:val="center"/>
              <w:rPr>
                <w:b/>
                <w:b/>
                <w:color w:val="000000"/>
                <w:sz w:val="22"/>
                <w:szCs w:val="22"/>
                <w:u w:val="single"/>
              </w:rPr>
            </w:pPr>
            <w:r>
              <w:rPr>
                <w:b/>
                <w:color w:val="000000"/>
                <w:sz w:val="22"/>
                <w:szCs w:val="22"/>
                <w:u w:val="single"/>
              </w:rPr>
              <w:t>Generales</w:t>
            </w:r>
          </w:p>
          <w:p>
            <w:pPr>
              <w:pStyle w:val="Normal"/>
              <w:keepNext w:val="true"/>
              <w:widowControl w:val="false"/>
              <w:pBdr/>
              <w:ind w:hanging="2"/>
              <w:jc w:val="center"/>
              <w:rPr>
                <w:b/>
                <w:b/>
                <w:color w:val="000000"/>
                <w:sz w:val="22"/>
                <w:szCs w:val="22"/>
                <w:u w:val="single"/>
              </w:rPr>
            </w:pPr>
            <w:r>
              <w:rPr>
                <w:b/>
                <w:color w:val="000000"/>
                <w:sz w:val="22"/>
                <w:szCs w:val="22"/>
                <w:u w:val="single"/>
              </w:rPr>
              <w:t>Trabajados</w:t>
            </w:r>
          </w:p>
        </w:tc>
        <w:tc>
          <w:tcPr>
            <w:tcW w:w="1990" w:type="dxa"/>
            <w:tcBorders>
              <w:top w:val="single" w:sz="4" w:space="0" w:color="000000"/>
              <w:left w:val="single" w:sz="4" w:space="0" w:color="000000"/>
              <w:bottom w:val="single" w:sz="4" w:space="0" w:color="000000"/>
              <w:right w:val="single" w:sz="4" w:space="0" w:color="000000"/>
            </w:tcBorders>
            <w:vAlign w:val="center"/>
          </w:tcPr>
          <w:p>
            <w:pPr>
              <w:pStyle w:val="Normal"/>
              <w:keepNext w:val="true"/>
              <w:widowControl w:val="false"/>
              <w:pBdr/>
              <w:ind w:hanging="2"/>
              <w:jc w:val="center"/>
              <w:rPr>
                <w:b/>
                <w:b/>
                <w:color w:val="000000"/>
                <w:sz w:val="22"/>
                <w:szCs w:val="22"/>
                <w:u w:val="single"/>
              </w:rPr>
            </w:pPr>
            <w:r>
              <w:rPr>
                <w:b/>
                <w:color w:val="000000"/>
                <w:sz w:val="22"/>
                <w:szCs w:val="22"/>
                <w:u w:val="single"/>
              </w:rPr>
              <w:t>Competencias Asociadas</w:t>
            </w:r>
          </w:p>
        </w:tc>
      </w:tr>
      <w:tr>
        <w:trPr/>
        <w:tc>
          <w:tcPr>
            <w:tcW w:w="6486" w:type="dxa"/>
            <w:tcBorders>
              <w:top w:val="single" w:sz="4" w:space="0" w:color="000000"/>
              <w:left w:val="single" w:sz="4" w:space="0" w:color="000000"/>
              <w:bottom w:val="single" w:sz="4" w:space="0" w:color="000000"/>
            </w:tcBorders>
          </w:tcPr>
          <w:p>
            <w:pPr>
              <w:pStyle w:val="Normal"/>
              <w:widowControl w:val="false"/>
              <w:pBdr/>
              <w:ind w:hanging="2"/>
              <w:jc w:val="both"/>
              <w:rPr>
                <w:color w:val="000000"/>
                <w:sz w:val="22"/>
                <w:szCs w:val="22"/>
              </w:rPr>
            </w:pPr>
            <w:r>
              <w:rPr>
                <w:color w:val="000000"/>
                <w:sz w:val="22"/>
                <w:szCs w:val="22"/>
              </w:rPr>
              <w:t>.</w:t>
            </w:r>
          </w:p>
          <w:p>
            <w:pPr>
              <w:pStyle w:val="Normal"/>
              <w:widowControl w:val="false"/>
              <w:numPr>
                <w:ilvl w:val="0"/>
                <w:numId w:val="6"/>
              </w:numPr>
              <w:pBdr/>
              <w:ind w:left="0" w:hanging="2"/>
              <w:jc w:val="both"/>
              <w:rPr>
                <w:color w:val="000000"/>
              </w:rPr>
            </w:pPr>
            <w:r>
              <w:rPr>
                <w:color w:val="000000"/>
              </w:rPr>
              <w:t>Resolución por parte del alumnado de una serie de ejercicios relacionados con el tema como: asumir los principios de estilo en la comunicación escrita, reflexionar sobre las características propias de la redacción de textos comerciales, etc.</w:t>
            </w:r>
          </w:p>
          <w:p>
            <w:pPr>
              <w:pStyle w:val="Normal"/>
              <w:widowControl w:val="false"/>
              <w:numPr>
                <w:ilvl w:val="0"/>
                <w:numId w:val="6"/>
              </w:numPr>
              <w:pBdr/>
              <w:ind w:left="0" w:hanging="2"/>
              <w:jc w:val="both"/>
              <w:rPr>
                <w:color w:val="000000"/>
              </w:rPr>
            </w:pPr>
            <w:r>
              <w:rPr>
                <w:color w:val="000000"/>
              </w:rPr>
              <w:t>Ejercicios de repaso de ortografía y gramática.</w:t>
            </w:r>
          </w:p>
          <w:p>
            <w:pPr>
              <w:pStyle w:val="Normal"/>
              <w:widowControl w:val="false"/>
              <w:numPr>
                <w:ilvl w:val="0"/>
                <w:numId w:val="6"/>
              </w:numPr>
              <w:pBdr/>
              <w:ind w:left="0" w:hanging="2"/>
              <w:jc w:val="both"/>
              <w:rPr>
                <w:color w:val="000000"/>
              </w:rPr>
            </w:pPr>
            <w:r>
              <w:rPr>
                <w:color w:val="000000"/>
              </w:rPr>
              <w:t>Manejar las herramientas de corrección de textos.</w:t>
            </w:r>
          </w:p>
          <w:p>
            <w:pPr>
              <w:pStyle w:val="Normal"/>
              <w:widowControl w:val="false"/>
              <w:numPr>
                <w:ilvl w:val="0"/>
                <w:numId w:val="6"/>
              </w:numPr>
              <w:pBdr/>
              <w:ind w:left="0" w:hanging="2"/>
              <w:jc w:val="both"/>
              <w:rPr>
                <w:color w:val="000000"/>
              </w:rPr>
            </w:pPr>
            <w:r>
              <w:rPr>
                <w:color w:val="000000"/>
              </w:rPr>
              <w:t>Examinar y comparar tipos de papelería corporativa.</w:t>
            </w:r>
          </w:p>
          <w:p>
            <w:pPr>
              <w:pStyle w:val="Normal"/>
              <w:widowControl w:val="false"/>
              <w:numPr>
                <w:ilvl w:val="0"/>
                <w:numId w:val="6"/>
              </w:numPr>
              <w:pBdr/>
              <w:ind w:left="0" w:hanging="2"/>
              <w:jc w:val="both"/>
              <w:rPr>
                <w:color w:val="000000"/>
              </w:rPr>
            </w:pPr>
            <w:r>
              <w:rPr>
                <w:color w:val="000000"/>
              </w:rPr>
              <w:t>Doblar una carta comercial y elegir el sobre adecuado.</w:t>
            </w:r>
          </w:p>
          <w:p>
            <w:pPr>
              <w:pStyle w:val="Normal"/>
              <w:widowControl w:val="false"/>
              <w:numPr>
                <w:ilvl w:val="0"/>
                <w:numId w:val="6"/>
              </w:numPr>
              <w:pBdr/>
              <w:ind w:left="0" w:hanging="2"/>
              <w:jc w:val="both"/>
              <w:rPr>
                <w:color w:val="000000"/>
              </w:rPr>
            </w:pPr>
            <w:r>
              <w:rPr>
                <w:color w:val="000000"/>
              </w:rPr>
              <w:t>Elaborar manual de estilo para redactar documentos en la empresa simulada.</w:t>
            </w:r>
          </w:p>
          <w:p>
            <w:pPr>
              <w:pStyle w:val="Normal"/>
              <w:widowControl w:val="false"/>
              <w:numPr>
                <w:ilvl w:val="0"/>
                <w:numId w:val="6"/>
              </w:numPr>
              <w:pBdr/>
              <w:ind w:left="0" w:hanging="2"/>
              <w:jc w:val="both"/>
              <w:rPr>
                <w:color w:val="000000"/>
              </w:rPr>
            </w:pPr>
            <w:r>
              <w:rPr>
                <w:color w:val="000000"/>
              </w:rPr>
              <w:t>Resolución por parte del alumnado de una serie de ejercicios relacionados con el tema como: diferenciar las características de la correspondencia comercial, conocer los principales documentos utilizados por las empresas para comunicarse, etc.</w:t>
            </w:r>
          </w:p>
          <w:p>
            <w:pPr>
              <w:pStyle w:val="Normal"/>
              <w:widowControl w:val="false"/>
              <w:numPr>
                <w:ilvl w:val="0"/>
                <w:numId w:val="6"/>
              </w:numPr>
              <w:pBdr/>
              <w:ind w:left="0" w:hanging="2"/>
              <w:jc w:val="both"/>
              <w:rPr>
                <w:color w:val="000000"/>
                <w:sz w:val="22"/>
                <w:szCs w:val="22"/>
              </w:rPr>
            </w:pPr>
            <w:r>
              <w:rPr>
                <w:color w:val="000000"/>
              </w:rPr>
              <w:t xml:space="preserve">Elaborar documentos de comunicación interna y externa en situaciones </w:t>
            </w:r>
            <w:r>
              <w:rPr>
                <w:color w:val="000000"/>
                <w:sz w:val="22"/>
                <w:szCs w:val="22"/>
              </w:rPr>
              <w:t>empresariales.</w:t>
            </w:r>
          </w:p>
          <w:p>
            <w:pPr>
              <w:pStyle w:val="Normal"/>
              <w:widowControl w:val="false"/>
              <w:numPr>
                <w:ilvl w:val="0"/>
                <w:numId w:val="6"/>
              </w:numPr>
              <w:pBdr/>
              <w:ind w:left="0" w:hanging="2"/>
              <w:jc w:val="both"/>
              <w:rPr>
                <w:color w:val="000000"/>
              </w:rPr>
            </w:pPr>
            <w:r>
              <w:rPr>
                <w:color w:val="000000"/>
              </w:rPr>
              <w:t>Elaborar documentos de relación de la empresa con la Administración Pública.</w:t>
            </w:r>
          </w:p>
          <w:p>
            <w:pPr>
              <w:pStyle w:val="Normal"/>
              <w:widowControl w:val="false"/>
              <w:numPr>
                <w:ilvl w:val="0"/>
                <w:numId w:val="6"/>
              </w:numPr>
              <w:pBdr/>
              <w:ind w:left="0" w:hanging="2"/>
              <w:jc w:val="both"/>
              <w:rPr>
                <w:color w:val="000000"/>
              </w:rPr>
            </w:pPr>
            <w:r>
              <w:rPr>
                <w:color w:val="000000"/>
              </w:rPr>
              <w:t>Resolución por parte del alumnado de una serie de ejercicios relacionados con el tema como: diferenciar las diferentes herramientas de comunicación empresarial a través de Internet, analizar  las ventajas e inconvenientes de la comunicación por Internet de las empresas, etc.</w:t>
            </w:r>
          </w:p>
          <w:p>
            <w:pPr>
              <w:pStyle w:val="Normal"/>
              <w:widowControl w:val="false"/>
              <w:numPr>
                <w:ilvl w:val="0"/>
                <w:numId w:val="6"/>
              </w:numPr>
              <w:pBdr/>
              <w:ind w:left="0" w:hanging="2"/>
              <w:jc w:val="both"/>
              <w:rPr>
                <w:color w:val="000000"/>
              </w:rPr>
            </w:pPr>
            <w:r>
              <w:rPr>
                <w:color w:val="000000"/>
              </w:rPr>
              <w:t>Confección de dossier identificando la imagen corporativa y realizando todo tipo de documentación empresarial.</w:t>
            </w:r>
          </w:p>
          <w:p>
            <w:pPr>
              <w:pStyle w:val="Normal"/>
              <w:widowControl w:val="false"/>
              <w:numPr>
                <w:ilvl w:val="0"/>
                <w:numId w:val="6"/>
              </w:numPr>
              <w:pBdr/>
              <w:ind w:left="0" w:hanging="2"/>
              <w:jc w:val="both"/>
              <w:rPr>
                <w:color w:val="000000"/>
              </w:rPr>
            </w:pPr>
            <w:r>
              <w:rPr>
                <w:color w:val="000000"/>
              </w:rPr>
              <w:t>Trabajo en equipo sobre las herramientas de la web 2.0.</w:t>
            </w:r>
          </w:p>
          <w:p>
            <w:pPr>
              <w:pStyle w:val="Normal"/>
              <w:widowControl w:val="false"/>
              <w:numPr>
                <w:ilvl w:val="0"/>
                <w:numId w:val="6"/>
              </w:numPr>
              <w:pBdr/>
              <w:ind w:left="0" w:hanging="2"/>
              <w:jc w:val="both"/>
              <w:rPr>
                <w:color w:val="000000"/>
              </w:rPr>
            </w:pPr>
            <w:r>
              <w:rPr>
                <w:color w:val="000000"/>
              </w:rPr>
              <w:t>Identificación de riesgos de la red.</w:t>
            </w:r>
          </w:p>
          <w:p>
            <w:pPr>
              <w:pStyle w:val="Normal"/>
              <w:widowControl w:val="false"/>
              <w:numPr>
                <w:ilvl w:val="0"/>
                <w:numId w:val="6"/>
              </w:numPr>
              <w:pBdr/>
              <w:ind w:left="0" w:hanging="2"/>
              <w:jc w:val="both"/>
              <w:rPr>
                <w:color w:val="000000"/>
                <w:sz w:val="22"/>
                <w:szCs w:val="22"/>
              </w:rPr>
            </w:pPr>
            <w:r>
              <w:rPr>
                <w:color w:val="000000"/>
              </w:rPr>
              <w:t>Crear perfiles sociales para la empresa simulada.</w:t>
            </w:r>
          </w:p>
          <w:p>
            <w:pPr>
              <w:pStyle w:val="Normal"/>
              <w:widowControl w:val="false"/>
              <w:numPr>
                <w:ilvl w:val="0"/>
                <w:numId w:val="6"/>
              </w:numPr>
              <w:pBdr/>
              <w:ind w:left="0" w:hanging="2"/>
              <w:jc w:val="both"/>
              <w:rPr>
                <w:color w:val="000000"/>
                <w:sz w:val="22"/>
                <w:szCs w:val="22"/>
              </w:rPr>
            </w:pPr>
            <w:r>
              <w:rPr>
                <w:color w:val="000000"/>
              </w:rPr>
              <w:t>Kahoot de repaso.</w:t>
            </w:r>
          </w:p>
        </w:tc>
        <w:tc>
          <w:tcPr>
            <w:tcW w:w="1848" w:type="dxa"/>
            <w:tcBorders>
              <w:top w:val="single" w:sz="4" w:space="0" w:color="000000"/>
              <w:left w:val="single" w:sz="4" w:space="0" w:color="000000"/>
              <w:bottom w:val="single" w:sz="4" w:space="0" w:color="000000"/>
            </w:tcBorders>
          </w:tcPr>
          <w:p>
            <w:pPr>
              <w:pStyle w:val="Normal"/>
              <w:keepNext w:val="true"/>
              <w:widowControl w:val="false"/>
              <w:pBdr/>
              <w:ind w:hanging="2"/>
              <w:jc w:val="center"/>
              <w:rPr>
                <w:color w:val="000000"/>
                <w:sz w:val="22"/>
                <w:szCs w:val="22"/>
              </w:rPr>
            </w:pPr>
            <w:r>
              <w:rPr>
                <w:color w:val="000000"/>
                <w:sz w:val="22"/>
                <w:szCs w:val="22"/>
              </w:rPr>
            </w:r>
          </w:p>
          <w:p>
            <w:pPr>
              <w:pStyle w:val="Normal"/>
              <w:keepNext w:val="true"/>
              <w:widowControl w:val="false"/>
              <w:pBdr/>
              <w:ind w:hanging="2"/>
              <w:jc w:val="center"/>
              <w:rPr>
                <w:color w:val="000000"/>
                <w:sz w:val="22"/>
                <w:szCs w:val="22"/>
              </w:rPr>
            </w:pPr>
            <w:r>
              <w:rPr>
                <w:color w:val="000000"/>
                <w:sz w:val="22"/>
                <w:szCs w:val="22"/>
              </w:rPr>
            </w:r>
          </w:p>
          <w:p>
            <w:pPr>
              <w:pStyle w:val="Normal"/>
              <w:keepNext w:val="true"/>
              <w:widowControl w:val="false"/>
              <w:pBdr/>
              <w:ind w:hanging="2"/>
              <w:jc w:val="center"/>
              <w:rPr>
                <w:color w:val="000000"/>
                <w:sz w:val="22"/>
                <w:szCs w:val="22"/>
              </w:rPr>
            </w:pPr>
            <w:r>
              <w:rPr>
                <w:color w:val="000000"/>
                <w:sz w:val="22"/>
                <w:szCs w:val="22"/>
              </w:rPr>
              <w:t>A-B</w:t>
            </w:r>
          </w:p>
        </w:tc>
        <w:tc>
          <w:tcPr>
            <w:tcW w:w="1990"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pBdr/>
              <w:ind w:hanging="2"/>
              <w:jc w:val="center"/>
              <w:rPr>
                <w:color w:val="000000"/>
                <w:sz w:val="22"/>
                <w:szCs w:val="22"/>
              </w:rPr>
            </w:pPr>
            <w:r>
              <w:rPr>
                <w:color w:val="000000"/>
                <w:sz w:val="22"/>
                <w:szCs w:val="22"/>
              </w:rPr>
            </w:r>
          </w:p>
          <w:p>
            <w:pPr>
              <w:pStyle w:val="Normal"/>
              <w:keepNext w:val="true"/>
              <w:widowControl w:val="false"/>
              <w:pBdr/>
              <w:ind w:hanging="2"/>
              <w:jc w:val="center"/>
              <w:rPr>
                <w:color w:val="000000"/>
                <w:sz w:val="22"/>
                <w:szCs w:val="22"/>
              </w:rPr>
            </w:pPr>
            <w:r>
              <w:rPr>
                <w:color w:val="000000"/>
                <w:sz w:val="22"/>
                <w:szCs w:val="22"/>
              </w:rPr>
            </w:r>
          </w:p>
          <w:p>
            <w:pPr>
              <w:pStyle w:val="Normal"/>
              <w:keepNext w:val="true"/>
              <w:widowControl w:val="false"/>
              <w:pBdr/>
              <w:ind w:hanging="2"/>
              <w:jc w:val="center"/>
              <w:rPr>
                <w:color w:val="000000"/>
                <w:sz w:val="22"/>
                <w:szCs w:val="22"/>
              </w:rPr>
            </w:pPr>
            <w:r>
              <w:rPr>
                <w:color w:val="000000"/>
                <w:sz w:val="22"/>
                <w:szCs w:val="22"/>
              </w:rPr>
              <w:t>A-B</w:t>
            </w:r>
          </w:p>
        </w:tc>
      </w:tr>
    </w:tbl>
    <w:p>
      <w:pPr>
        <w:pStyle w:val="Normal"/>
        <w:pBdr/>
        <w:tabs>
          <w:tab w:val="clear" w:pos="720"/>
          <w:tab w:val="right" w:pos="560" w:leader="none"/>
          <w:tab w:val="left" w:pos="680" w:leader="none"/>
        </w:tabs>
        <w:ind w:hanging="2"/>
        <w:jc w:val="both"/>
        <w:rPr>
          <w:color w:val="000000"/>
        </w:rPr>
      </w:pPr>
      <w:r>
        <w:rPr>
          <w:color w:val="000000"/>
        </w:rPr>
      </w:r>
    </w:p>
    <w:tbl>
      <w:tblPr>
        <w:tblStyle w:val="afffffff2"/>
        <w:tblW w:w="10286" w:type="dxa"/>
        <w:jc w:val="left"/>
        <w:tblInd w:w="-355" w:type="dxa"/>
        <w:tblLayout w:type="fixed"/>
        <w:tblCellMar>
          <w:top w:w="0" w:type="dxa"/>
          <w:left w:w="108" w:type="dxa"/>
          <w:bottom w:w="0" w:type="dxa"/>
          <w:right w:w="108" w:type="dxa"/>
        </w:tblCellMar>
        <w:tblLook w:val="0000" w:noHBand="0" w:noVBand="0" w:firstColumn="0" w:lastRow="0" w:lastColumn="0" w:firstRow="0"/>
      </w:tblPr>
      <w:tblGrid>
        <w:gridCol w:w="6028"/>
        <w:gridCol w:w="2126"/>
        <w:gridCol w:w="2132"/>
      </w:tblGrid>
      <w:tr>
        <w:trPr/>
        <w:tc>
          <w:tcPr>
            <w:tcW w:w="10286" w:type="dxa"/>
            <w:gridSpan w:val="3"/>
            <w:tcBorders>
              <w:top w:val="single" w:sz="4" w:space="0" w:color="000000"/>
              <w:left w:val="single" w:sz="4" w:space="0" w:color="000000"/>
              <w:bottom w:val="single" w:sz="4" w:space="0" w:color="000000"/>
              <w:right w:val="single" w:sz="4" w:space="0" w:color="000000"/>
            </w:tcBorders>
            <w:shd w:color="auto" w:fill="B3B3B3" w:val="clear"/>
          </w:tcPr>
          <w:p>
            <w:pPr>
              <w:pStyle w:val="Normal"/>
              <w:keepNext w:val="true"/>
              <w:widowControl w:val="false"/>
              <w:pBdr/>
              <w:ind w:hanging="2"/>
              <w:jc w:val="center"/>
              <w:rPr>
                <w:b/>
                <w:b/>
                <w:color w:val="000000"/>
              </w:rPr>
            </w:pPr>
            <w:r>
              <w:rPr>
                <w:b/>
                <w:color w:val="000000"/>
              </w:rPr>
              <w:t>CRITERIOS DE:</w:t>
            </w:r>
          </w:p>
        </w:tc>
      </w:tr>
      <w:tr>
        <w:trPr/>
        <w:tc>
          <w:tcPr>
            <w:tcW w:w="6028" w:type="dxa"/>
            <w:tcBorders>
              <w:top w:val="single" w:sz="4" w:space="0" w:color="000000"/>
              <w:left w:val="single" w:sz="4" w:space="0" w:color="000000"/>
              <w:bottom w:val="single" w:sz="4" w:space="0" w:color="000000"/>
            </w:tcBorders>
            <w:shd w:color="auto" w:fill="D9D9D9" w:val="clear"/>
          </w:tcPr>
          <w:p>
            <w:pPr>
              <w:pStyle w:val="Normal"/>
              <w:widowControl w:val="false"/>
              <w:pBdr/>
              <w:ind w:hanging="2"/>
              <w:jc w:val="center"/>
              <w:rPr>
                <w:b/>
                <w:b/>
                <w:color w:val="000000"/>
              </w:rPr>
            </w:pPr>
            <w:r>
              <w:rPr>
                <w:b/>
                <w:color w:val="000000"/>
              </w:rPr>
              <w:t>EVALUACIÓN</w:t>
            </w:r>
          </w:p>
        </w:tc>
        <w:tc>
          <w:tcPr>
            <w:tcW w:w="2126" w:type="dxa"/>
            <w:tcBorders>
              <w:top w:val="single" w:sz="4" w:space="0" w:color="000000"/>
              <w:left w:val="single" w:sz="4" w:space="0" w:color="000000"/>
              <w:bottom w:val="single" w:sz="4" w:space="0" w:color="000000"/>
            </w:tcBorders>
            <w:shd w:color="auto" w:fill="D9D9D9" w:val="clear"/>
          </w:tcPr>
          <w:p>
            <w:pPr>
              <w:pStyle w:val="Normal"/>
              <w:widowControl w:val="false"/>
              <w:pBdr/>
              <w:ind w:hanging="2"/>
              <w:jc w:val="center"/>
              <w:rPr>
                <w:b/>
                <w:b/>
                <w:color w:val="000000"/>
                <w:sz w:val="20"/>
                <w:szCs w:val="20"/>
              </w:rPr>
            </w:pPr>
            <w:r>
              <w:rPr>
                <w:b/>
                <w:color w:val="000000"/>
                <w:sz w:val="20"/>
                <w:szCs w:val="20"/>
              </w:rPr>
              <w:t>CALIFICACIÓN</w:t>
            </w:r>
          </w:p>
        </w:tc>
        <w:tc>
          <w:tcPr>
            <w:tcW w:w="2132" w:type="dxa"/>
            <w:tcBorders>
              <w:top w:val="single" w:sz="4" w:space="0" w:color="000000"/>
              <w:left w:val="single" w:sz="4" w:space="0" w:color="000000"/>
              <w:bottom w:val="single" w:sz="4" w:space="0" w:color="000000"/>
              <w:right w:val="single" w:sz="4" w:space="0" w:color="000000"/>
            </w:tcBorders>
            <w:shd w:color="auto" w:fill="D9D9D9" w:val="clear"/>
          </w:tcPr>
          <w:p>
            <w:pPr>
              <w:pStyle w:val="Normal"/>
              <w:widowControl w:val="false"/>
              <w:pBdr/>
              <w:ind w:hanging="2"/>
              <w:rPr>
                <w:b/>
                <w:b/>
                <w:color w:val="000000"/>
                <w:sz w:val="20"/>
                <w:szCs w:val="20"/>
              </w:rPr>
            </w:pPr>
            <w:r>
              <w:rPr>
                <w:b/>
                <w:color w:val="000000"/>
                <w:sz w:val="20"/>
                <w:szCs w:val="20"/>
              </w:rPr>
              <w:t>RECUPERACIÓN</w:t>
            </w:r>
          </w:p>
        </w:tc>
      </w:tr>
      <w:tr>
        <w:trPr/>
        <w:tc>
          <w:tcPr>
            <w:tcW w:w="6028" w:type="dxa"/>
            <w:tcBorders>
              <w:top w:val="single" w:sz="4" w:space="0" w:color="000000"/>
              <w:left w:val="single" w:sz="4" w:space="0" w:color="000000"/>
              <w:bottom w:val="single" w:sz="4" w:space="0" w:color="000000"/>
            </w:tcBorders>
          </w:tcPr>
          <w:p>
            <w:pPr>
              <w:pStyle w:val="Normal"/>
              <w:widowControl w:val="false"/>
              <w:numPr>
                <w:ilvl w:val="0"/>
                <w:numId w:val="16"/>
              </w:numPr>
              <w:pBdr/>
              <w:ind w:left="0" w:hanging="2"/>
              <w:jc w:val="both"/>
              <w:rPr>
                <w:color w:val="000000"/>
                <w:sz w:val="22"/>
                <w:szCs w:val="22"/>
              </w:rPr>
            </w:pPr>
            <w:r>
              <w:rPr>
                <w:color w:val="000000"/>
                <w:sz w:val="22"/>
                <w:szCs w:val="22"/>
              </w:rPr>
              <w:t>A) Se han identificado los soportes y los canales para elaborar y transmitir los documentos.</w:t>
            </w:r>
          </w:p>
          <w:p>
            <w:pPr>
              <w:pStyle w:val="Normal"/>
              <w:widowControl w:val="false"/>
              <w:numPr>
                <w:ilvl w:val="0"/>
                <w:numId w:val="16"/>
              </w:numPr>
              <w:pBdr/>
              <w:ind w:left="0" w:hanging="2"/>
              <w:jc w:val="both"/>
              <w:rPr>
                <w:color w:val="000000"/>
                <w:sz w:val="22"/>
                <w:szCs w:val="22"/>
              </w:rPr>
            </w:pPr>
            <w:r>
              <w:rPr>
                <w:color w:val="000000"/>
                <w:sz w:val="22"/>
                <w:szCs w:val="22"/>
              </w:rPr>
              <w:t>B) Se han diferenciado los soportes más apropiados en función de los criterios de rapidez, seguridad y confidencialidad</w:t>
            </w:r>
          </w:p>
          <w:p>
            <w:pPr>
              <w:pStyle w:val="Normal"/>
              <w:widowControl w:val="false"/>
              <w:numPr>
                <w:ilvl w:val="0"/>
                <w:numId w:val="16"/>
              </w:numPr>
              <w:pBdr/>
              <w:ind w:left="0" w:hanging="2"/>
              <w:jc w:val="both"/>
              <w:rPr>
                <w:color w:val="000000"/>
                <w:sz w:val="22"/>
                <w:szCs w:val="22"/>
              </w:rPr>
            </w:pPr>
            <w:r>
              <w:rPr>
                <w:color w:val="000000"/>
                <w:sz w:val="22"/>
                <w:szCs w:val="22"/>
              </w:rPr>
              <w:t>C) Se ha identificado al destinatario, observando las debidas normas de protocolo.</w:t>
            </w:r>
          </w:p>
          <w:p>
            <w:pPr>
              <w:pStyle w:val="Normal"/>
              <w:widowControl w:val="false"/>
              <w:numPr>
                <w:ilvl w:val="0"/>
                <w:numId w:val="16"/>
              </w:numPr>
              <w:pBdr/>
              <w:ind w:left="0" w:hanging="2"/>
              <w:jc w:val="both"/>
              <w:rPr>
                <w:color w:val="000000"/>
                <w:sz w:val="22"/>
                <w:szCs w:val="22"/>
              </w:rPr>
            </w:pPr>
            <w:r>
              <w:rPr>
                <w:color w:val="000000"/>
                <w:sz w:val="22"/>
                <w:szCs w:val="22"/>
              </w:rPr>
              <w:t>D) Se han diferenciado las estructuras y estilos de redacción propias de la documentación profesional.</w:t>
            </w:r>
          </w:p>
          <w:p>
            <w:pPr>
              <w:pStyle w:val="Normal"/>
              <w:widowControl w:val="false"/>
              <w:numPr>
                <w:ilvl w:val="0"/>
                <w:numId w:val="16"/>
              </w:numPr>
              <w:pBdr/>
              <w:ind w:left="0" w:hanging="2"/>
              <w:jc w:val="both"/>
              <w:rPr>
                <w:color w:val="000000"/>
                <w:sz w:val="22"/>
                <w:szCs w:val="22"/>
              </w:rPr>
            </w:pPr>
            <w:r>
              <w:rPr>
                <w:color w:val="000000"/>
                <w:sz w:val="22"/>
                <w:szCs w:val="22"/>
              </w:rPr>
              <w:t>E) Se ha redactado el documento apropiado, utilizando una estructura, terminología y forma adecuadas, en función de su finalidad y de la situación de partida.</w:t>
            </w:r>
          </w:p>
          <w:p>
            <w:pPr>
              <w:pStyle w:val="Normal"/>
              <w:widowControl w:val="false"/>
              <w:numPr>
                <w:ilvl w:val="0"/>
                <w:numId w:val="16"/>
              </w:numPr>
              <w:pBdr/>
              <w:ind w:left="0" w:hanging="2"/>
              <w:jc w:val="both"/>
              <w:rPr>
                <w:color w:val="000000"/>
                <w:sz w:val="22"/>
                <w:szCs w:val="22"/>
              </w:rPr>
            </w:pPr>
            <w:r>
              <w:rPr>
                <w:color w:val="000000"/>
                <w:sz w:val="22"/>
                <w:szCs w:val="22"/>
              </w:rPr>
              <w:t>F) Se han utilizado las aplicaciones informáticas de procesamiento de textos y autoedición, así como sus herramientas de corrección</w:t>
            </w:r>
          </w:p>
          <w:p>
            <w:pPr>
              <w:pStyle w:val="Normal"/>
              <w:widowControl w:val="false"/>
              <w:numPr>
                <w:ilvl w:val="0"/>
                <w:numId w:val="16"/>
              </w:numPr>
              <w:pBdr/>
              <w:ind w:left="0" w:hanging="2"/>
              <w:jc w:val="both"/>
              <w:rPr>
                <w:color w:val="000000"/>
                <w:sz w:val="22"/>
                <w:szCs w:val="22"/>
              </w:rPr>
            </w:pPr>
            <w:r>
              <w:rPr>
                <w:color w:val="000000"/>
                <w:sz w:val="22"/>
                <w:szCs w:val="22"/>
              </w:rPr>
              <w:t>G) Se han publicado documentos con herramientas de la web 2.0.</w:t>
            </w:r>
          </w:p>
          <w:p>
            <w:pPr>
              <w:pStyle w:val="Normal"/>
              <w:widowControl w:val="false"/>
              <w:numPr>
                <w:ilvl w:val="0"/>
                <w:numId w:val="16"/>
              </w:numPr>
              <w:pBdr/>
              <w:ind w:left="0" w:hanging="2"/>
              <w:jc w:val="both"/>
              <w:rPr>
                <w:color w:val="000000"/>
                <w:sz w:val="22"/>
                <w:szCs w:val="22"/>
              </w:rPr>
            </w:pPr>
            <w:r>
              <w:rPr>
                <w:color w:val="000000"/>
                <w:sz w:val="22"/>
                <w:szCs w:val="22"/>
              </w:rPr>
              <w:t>H) Se ha adecuado la documentación escrita al manual de estilo de organizaciones tipo.</w:t>
            </w:r>
          </w:p>
          <w:p>
            <w:pPr>
              <w:pStyle w:val="Normal"/>
              <w:widowControl w:val="false"/>
              <w:numPr>
                <w:ilvl w:val="0"/>
                <w:numId w:val="16"/>
              </w:numPr>
              <w:pBdr/>
              <w:ind w:left="0" w:hanging="2"/>
              <w:jc w:val="both"/>
              <w:rPr>
                <w:color w:val="000000"/>
                <w:sz w:val="22"/>
                <w:szCs w:val="22"/>
              </w:rPr>
            </w:pPr>
            <w:r>
              <w:rPr>
                <w:color w:val="000000"/>
                <w:sz w:val="22"/>
                <w:szCs w:val="22"/>
              </w:rPr>
              <w:t>I) Se ha utilizado la normativa sobre protección de datos y conservación de documentos, establecida para las empresas e instituciones públicas y privadas.</w:t>
            </w:r>
          </w:p>
          <w:p>
            <w:pPr>
              <w:pStyle w:val="Normal"/>
              <w:widowControl w:val="false"/>
              <w:numPr>
                <w:ilvl w:val="0"/>
                <w:numId w:val="16"/>
              </w:numPr>
              <w:pBdr/>
              <w:ind w:left="0" w:hanging="2"/>
              <w:jc w:val="both"/>
              <w:rPr>
                <w:color w:val="000000"/>
                <w:sz w:val="22"/>
                <w:szCs w:val="22"/>
              </w:rPr>
            </w:pPr>
            <w:r>
              <w:rPr>
                <w:color w:val="000000"/>
                <w:sz w:val="22"/>
                <w:szCs w:val="22"/>
              </w:rPr>
              <w:t>J) Se han aplicado, en la elaboración de la documentación, las técnicas 3R (reducir, reutilizar y reciclar).</w:t>
            </w:r>
          </w:p>
          <w:p>
            <w:pPr>
              <w:pStyle w:val="Normal"/>
              <w:widowControl w:val="false"/>
              <w:numPr>
                <w:ilvl w:val="0"/>
                <w:numId w:val="16"/>
              </w:numPr>
              <w:pBdr/>
              <w:ind w:left="0" w:hanging="2"/>
              <w:jc w:val="both"/>
              <w:rPr>
                <w:color w:val="000000"/>
                <w:sz w:val="22"/>
                <w:szCs w:val="22"/>
              </w:rPr>
            </w:pPr>
            <w:r>
              <w:rPr>
                <w:color w:val="000000"/>
                <w:sz w:val="22"/>
                <w:szCs w:val="22"/>
              </w:rPr>
              <w:t>K) Se han aplicado técnicas de transmisión de la imagen corporativa en las comunicaciones escritas, valorando su importancia para las organizaciones.</w:t>
            </w:r>
          </w:p>
          <w:p>
            <w:pPr>
              <w:pStyle w:val="Normal"/>
              <w:widowControl w:val="false"/>
              <w:pBdr/>
              <w:ind w:hanging="2"/>
              <w:jc w:val="both"/>
              <w:rPr>
                <w:color w:val="000000"/>
                <w:sz w:val="22"/>
                <w:szCs w:val="22"/>
              </w:rPr>
            </w:pPr>
            <w:r>
              <w:rPr>
                <w:color w:val="000000"/>
                <w:sz w:val="22"/>
                <w:szCs w:val="22"/>
              </w:rPr>
            </w:r>
          </w:p>
        </w:tc>
        <w:tc>
          <w:tcPr>
            <w:tcW w:w="2126" w:type="dxa"/>
            <w:tcBorders>
              <w:top w:val="single" w:sz="4" w:space="0" w:color="000000"/>
              <w:left w:val="single" w:sz="4" w:space="0" w:color="000000"/>
              <w:bottom w:val="single" w:sz="4" w:space="0" w:color="000000"/>
            </w:tcBorders>
          </w:tcPr>
          <w:p>
            <w:pPr>
              <w:pStyle w:val="Normal"/>
              <w:widowControl w:val="false"/>
              <w:ind w:hanging="2"/>
              <w:rPr>
                <w:sz w:val="22"/>
                <w:szCs w:val="22"/>
              </w:rPr>
            </w:pPr>
            <w:r>
              <w:rPr>
                <w:sz w:val="22"/>
                <w:szCs w:val="22"/>
              </w:rPr>
              <w:t>Los que se han detallado al inicio de esta programación.</w:t>
            </w:r>
          </w:p>
        </w:tc>
        <w:tc>
          <w:tcPr>
            <w:tcW w:w="2132" w:type="dxa"/>
            <w:tcBorders>
              <w:top w:val="single" w:sz="4" w:space="0" w:color="000000"/>
              <w:left w:val="single" w:sz="4" w:space="0" w:color="000000"/>
              <w:bottom w:val="single" w:sz="4" w:space="0" w:color="000000"/>
              <w:right w:val="single" w:sz="4" w:space="0" w:color="000000"/>
            </w:tcBorders>
          </w:tcPr>
          <w:p>
            <w:pPr>
              <w:pStyle w:val="Normal"/>
              <w:widowControl w:val="false"/>
              <w:ind w:hanging="2"/>
              <w:rPr>
                <w:sz w:val="22"/>
                <w:szCs w:val="22"/>
              </w:rPr>
            </w:pPr>
            <w:r>
              <w:rPr>
                <w:sz w:val="22"/>
                <w:szCs w:val="22"/>
              </w:rPr>
              <w:t>Los que se han detallado al inicio de esta programación.</w:t>
            </w:r>
          </w:p>
        </w:tc>
      </w:tr>
    </w:tbl>
    <w:p>
      <w:pPr>
        <w:pStyle w:val="Normal"/>
        <w:keepNext w:val="true"/>
        <w:pBdr/>
        <w:ind w:hanging="2"/>
        <w:jc w:val="both"/>
        <w:rPr>
          <w:color w:val="000000"/>
        </w:rPr>
      </w:pPr>
      <w:r>
        <w:rPr>
          <w:color w:val="000000"/>
        </w:rPr>
      </w:r>
    </w:p>
    <w:p>
      <w:pPr>
        <w:pStyle w:val="Normal"/>
        <w:ind w:hanging="2"/>
        <w:rPr/>
      </w:pPr>
      <w:r>
        <w:rPr/>
      </w:r>
    </w:p>
    <w:tbl>
      <w:tblPr>
        <w:tblStyle w:val="afffffff3"/>
        <w:tblW w:w="10354" w:type="dxa"/>
        <w:jc w:val="left"/>
        <w:tblInd w:w="-355" w:type="dxa"/>
        <w:tblLayout w:type="fixed"/>
        <w:tblCellMar>
          <w:top w:w="0" w:type="dxa"/>
          <w:left w:w="108" w:type="dxa"/>
          <w:bottom w:w="0" w:type="dxa"/>
          <w:right w:w="108" w:type="dxa"/>
        </w:tblCellMar>
        <w:tblLook w:val="0000" w:noHBand="0" w:noVBand="0" w:firstColumn="0" w:lastRow="0" w:lastColumn="0" w:firstRow="0"/>
      </w:tblPr>
      <w:tblGrid>
        <w:gridCol w:w="2479"/>
        <w:gridCol w:w="5109"/>
        <w:gridCol w:w="2766"/>
      </w:tblGrid>
      <w:tr>
        <w:trPr/>
        <w:tc>
          <w:tcPr>
            <w:tcW w:w="2479" w:type="dxa"/>
            <w:tcBorders>
              <w:top w:val="single" w:sz="4" w:space="0" w:color="000000"/>
              <w:left w:val="single" w:sz="4" w:space="0" w:color="000000"/>
              <w:bottom w:val="single" w:sz="4" w:space="0" w:color="000000"/>
            </w:tcBorders>
            <w:shd w:color="auto" w:fill="D9D9D9" w:val="clear"/>
            <w:vAlign w:val="center"/>
          </w:tcPr>
          <w:p>
            <w:pPr>
              <w:pStyle w:val="Normal"/>
              <w:widowControl w:val="false"/>
              <w:ind w:hanging="2"/>
              <w:jc w:val="center"/>
              <w:rPr/>
            </w:pPr>
            <w:r>
              <w:rPr>
                <w:b/>
              </w:rPr>
              <w:t>UD 4</w:t>
            </w:r>
          </w:p>
        </w:tc>
        <w:tc>
          <w:tcPr>
            <w:tcW w:w="5109" w:type="dxa"/>
            <w:tcBorders>
              <w:top w:val="single" w:sz="4" w:space="0" w:color="000000"/>
              <w:left w:val="single" w:sz="4" w:space="0" w:color="000000"/>
              <w:bottom w:val="single" w:sz="4" w:space="0" w:color="000000"/>
            </w:tcBorders>
            <w:shd w:color="auto" w:fill="D9D9D9" w:val="clear"/>
          </w:tcPr>
          <w:p>
            <w:pPr>
              <w:pStyle w:val="Normal"/>
              <w:widowControl w:val="false"/>
              <w:ind w:hanging="2"/>
              <w:jc w:val="center"/>
              <w:rPr>
                <w:sz w:val="18"/>
                <w:szCs w:val="18"/>
              </w:rPr>
            </w:pPr>
            <w:r>
              <w:rPr>
                <w:sz w:val="18"/>
                <w:szCs w:val="18"/>
              </w:rPr>
            </w:r>
          </w:p>
          <w:p>
            <w:pPr>
              <w:pStyle w:val="Normal"/>
              <w:widowControl w:val="false"/>
              <w:ind w:hanging="2"/>
              <w:jc w:val="center"/>
              <w:rPr/>
            </w:pPr>
            <w:r>
              <w:rPr>
                <w:b/>
              </w:rPr>
              <w:t>TÉCNICAS DE COMUNICACIÓN EN LA ATENCIÓN AL CLIENTE</w:t>
            </w:r>
          </w:p>
        </w:tc>
        <w:tc>
          <w:tcPr>
            <w:tcW w:w="2766" w:type="dxa"/>
            <w:tcBorders>
              <w:top w:val="single" w:sz="4" w:space="0" w:color="000000"/>
              <w:left w:val="single" w:sz="4" w:space="0" w:color="000000"/>
              <w:bottom w:val="single" w:sz="4" w:space="0" w:color="000000"/>
              <w:right w:val="single" w:sz="4" w:space="0" w:color="000000"/>
            </w:tcBorders>
            <w:shd w:color="auto" w:fill="D9D9D9" w:val="clear"/>
          </w:tcPr>
          <w:p>
            <w:pPr>
              <w:pStyle w:val="Normal"/>
              <w:keepNext w:val="true"/>
              <w:widowControl w:val="false"/>
              <w:pBdr/>
              <w:ind w:hanging="2"/>
              <w:jc w:val="both"/>
              <w:rPr>
                <w:b/>
                <w:b/>
                <w:color w:val="000000"/>
                <w:u w:val="single"/>
              </w:rPr>
            </w:pPr>
            <w:r>
              <w:rPr>
                <w:b/>
                <w:color w:val="000000"/>
              </w:rPr>
              <w:t>Nº de horas previstas</w:t>
            </w:r>
          </w:p>
          <w:p>
            <w:pPr>
              <w:pStyle w:val="Normal"/>
              <w:widowControl w:val="false"/>
              <w:ind w:hanging="2"/>
              <w:jc w:val="center"/>
              <w:rPr/>
            </w:pPr>
            <w:r>
              <w:rPr/>
            </w:r>
          </w:p>
          <w:p>
            <w:pPr>
              <w:pStyle w:val="Normal"/>
              <w:widowControl w:val="false"/>
              <w:ind w:hanging="2"/>
              <w:jc w:val="center"/>
              <w:rPr/>
            </w:pPr>
            <w:r>
              <w:rPr>
                <w:b/>
              </w:rPr>
              <w:t>19/19</w:t>
            </w:r>
          </w:p>
          <w:p>
            <w:pPr>
              <w:pStyle w:val="Normal"/>
              <w:widowControl w:val="false"/>
              <w:ind w:hanging="2"/>
              <w:rPr/>
            </w:pPr>
            <w:r>
              <w:rPr/>
            </w:r>
          </w:p>
        </w:tc>
      </w:tr>
    </w:tbl>
    <w:p>
      <w:pPr>
        <w:pStyle w:val="Normal"/>
        <w:keepNext w:val="true"/>
        <w:pBdr/>
        <w:ind w:hanging="2"/>
        <w:jc w:val="both"/>
        <w:rPr>
          <w:color w:val="000000"/>
        </w:rPr>
      </w:pPr>
      <w:r>
        <w:rPr>
          <w:color w:val="000000"/>
        </w:rPr>
      </w:r>
    </w:p>
    <w:tbl>
      <w:tblPr>
        <w:tblStyle w:val="afffffff4"/>
        <w:tblW w:w="10080" w:type="dxa"/>
        <w:jc w:val="left"/>
        <w:tblInd w:w="-396" w:type="dxa"/>
        <w:tblLayout w:type="fixed"/>
        <w:tblCellMar>
          <w:top w:w="0" w:type="dxa"/>
          <w:left w:w="108" w:type="dxa"/>
          <w:bottom w:w="0" w:type="dxa"/>
          <w:right w:w="108" w:type="dxa"/>
        </w:tblCellMar>
        <w:tblLook w:val="0000" w:noHBand="0" w:noVBand="0" w:firstColumn="0" w:lastRow="0" w:lastColumn="0" w:firstRow="0"/>
      </w:tblPr>
      <w:tblGrid>
        <w:gridCol w:w="10080"/>
      </w:tblGrid>
      <w:tr>
        <w:trPr>
          <w:trHeight w:val="5400" w:hRule="atLeast"/>
        </w:trPr>
        <w:tc>
          <w:tcPr>
            <w:tcW w:w="10080"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pBdr/>
              <w:ind w:hanging="2"/>
              <w:jc w:val="both"/>
              <w:rPr>
                <w:color w:val="000000"/>
              </w:rPr>
            </w:pPr>
            <w:r>
              <w:rPr>
                <w:color w:val="000000"/>
              </w:rPr>
            </w:r>
          </w:p>
          <w:p>
            <w:pPr>
              <w:pStyle w:val="Normal"/>
              <w:keepNext w:val="true"/>
              <w:widowControl w:val="false"/>
              <w:pBdr/>
              <w:ind w:hanging="2"/>
              <w:jc w:val="both"/>
              <w:rPr>
                <w:b/>
                <w:b/>
                <w:color w:val="000000"/>
                <w:u w:val="single"/>
              </w:rPr>
            </w:pPr>
            <w:r>
              <w:rPr>
                <w:b/>
                <w:color w:val="000000"/>
                <w:u w:val="single"/>
              </w:rPr>
              <w:t>Contenidos</w:t>
            </w:r>
            <w:r>
              <w:rPr>
                <w:b/>
                <w:color w:val="000000"/>
              </w:rPr>
              <w:t>:</w:t>
            </w:r>
          </w:p>
          <w:p>
            <w:pPr>
              <w:pStyle w:val="Normal"/>
              <w:widowControl w:val="false"/>
              <w:ind w:hanging="2"/>
              <w:rPr/>
            </w:pPr>
            <w:r>
              <w:rPr/>
            </w:r>
          </w:p>
          <w:p>
            <w:pPr>
              <w:pStyle w:val="Normal"/>
              <w:widowControl w:val="false"/>
              <w:numPr>
                <w:ilvl w:val="0"/>
                <w:numId w:val="2"/>
              </w:numPr>
              <w:ind w:left="0" w:hanging="2"/>
              <w:jc w:val="both"/>
              <w:rPr/>
            </w:pPr>
            <w:r>
              <w:rPr/>
              <w:t>El cliente.</w:t>
            </w:r>
          </w:p>
          <w:p>
            <w:pPr>
              <w:pStyle w:val="Normal"/>
              <w:widowControl w:val="false"/>
              <w:numPr>
                <w:ilvl w:val="1"/>
                <w:numId w:val="2"/>
              </w:numPr>
              <w:ind w:left="0" w:hanging="2"/>
              <w:jc w:val="both"/>
              <w:rPr/>
            </w:pPr>
            <w:r>
              <w:rPr/>
              <w:t>Tipología de cliente y características.</w:t>
            </w:r>
          </w:p>
          <w:p>
            <w:pPr>
              <w:pStyle w:val="Normal"/>
              <w:widowControl w:val="false"/>
              <w:numPr>
                <w:ilvl w:val="1"/>
                <w:numId w:val="2"/>
              </w:numPr>
              <w:ind w:left="0" w:hanging="2"/>
              <w:jc w:val="both"/>
              <w:rPr/>
            </w:pPr>
            <w:r>
              <w:rPr/>
              <w:t>Factores de comportamiento del cliente.</w:t>
            </w:r>
          </w:p>
          <w:p>
            <w:pPr>
              <w:pStyle w:val="Normal"/>
              <w:widowControl w:val="false"/>
              <w:numPr>
                <w:ilvl w:val="0"/>
                <w:numId w:val="2"/>
              </w:numPr>
              <w:ind w:left="0" w:hanging="2"/>
              <w:jc w:val="both"/>
              <w:rPr/>
            </w:pPr>
            <w:r>
              <w:rPr/>
              <w:t>Atención al cliente en la empresa.</w:t>
            </w:r>
          </w:p>
          <w:p>
            <w:pPr>
              <w:pStyle w:val="Normal"/>
              <w:widowControl w:val="false"/>
              <w:numPr>
                <w:ilvl w:val="1"/>
                <w:numId w:val="2"/>
              </w:numPr>
              <w:ind w:left="0" w:hanging="2"/>
              <w:jc w:val="both"/>
              <w:rPr/>
            </w:pPr>
            <w:r>
              <w:rPr/>
              <w:t>Características de la atención al cliente.</w:t>
            </w:r>
          </w:p>
          <w:p>
            <w:pPr>
              <w:pStyle w:val="Normal"/>
              <w:widowControl w:val="false"/>
              <w:numPr>
                <w:ilvl w:val="1"/>
                <w:numId w:val="2"/>
              </w:numPr>
              <w:ind w:left="0" w:hanging="2"/>
              <w:jc w:val="both"/>
              <w:rPr/>
            </w:pPr>
            <w:r>
              <w:rPr/>
              <w:t>Canales de comunicación del proceso de atención al cliente.</w:t>
            </w:r>
          </w:p>
          <w:p>
            <w:pPr>
              <w:pStyle w:val="Normal"/>
              <w:widowControl w:val="false"/>
              <w:numPr>
                <w:ilvl w:val="1"/>
                <w:numId w:val="2"/>
              </w:numPr>
              <w:ind w:left="0" w:hanging="2"/>
              <w:jc w:val="both"/>
              <w:rPr/>
            </w:pPr>
            <w:r>
              <w:rPr/>
              <w:t>Fases del proceso de la atención al cliente.</w:t>
            </w:r>
          </w:p>
          <w:p>
            <w:pPr>
              <w:pStyle w:val="Normal"/>
              <w:widowControl w:val="false"/>
              <w:numPr>
                <w:ilvl w:val="1"/>
                <w:numId w:val="2"/>
              </w:numPr>
              <w:ind w:left="0" w:hanging="2"/>
              <w:jc w:val="both"/>
              <w:rPr/>
            </w:pPr>
            <w:r>
              <w:rPr/>
              <w:t>Elementos del proceso de atención al cliente.</w:t>
            </w:r>
          </w:p>
          <w:p>
            <w:pPr>
              <w:pStyle w:val="Normal"/>
              <w:widowControl w:val="false"/>
              <w:numPr>
                <w:ilvl w:val="0"/>
                <w:numId w:val="2"/>
              </w:numPr>
              <w:ind w:left="0" w:hanging="2"/>
              <w:jc w:val="both"/>
              <w:rPr/>
            </w:pPr>
            <w:r>
              <w:rPr/>
              <w:t>Satisfacción del cliente. Evaluación y control de los procesos de satisfacción.</w:t>
            </w:r>
          </w:p>
          <w:p>
            <w:pPr>
              <w:pStyle w:val="Normal"/>
              <w:widowControl w:val="false"/>
              <w:numPr>
                <w:ilvl w:val="0"/>
                <w:numId w:val="2"/>
              </w:numPr>
              <w:ind w:left="0" w:hanging="2"/>
              <w:jc w:val="both"/>
              <w:rPr/>
            </w:pPr>
            <w:r>
              <w:rPr/>
              <w:t>Fidelización del cliente.</w:t>
            </w:r>
          </w:p>
          <w:p>
            <w:pPr>
              <w:pStyle w:val="Normal"/>
              <w:widowControl w:val="false"/>
              <w:numPr>
                <w:ilvl w:val="1"/>
                <w:numId w:val="2"/>
              </w:numPr>
              <w:ind w:left="0" w:hanging="2"/>
              <w:jc w:val="both"/>
              <w:rPr/>
            </w:pPr>
            <w:r>
              <w:rPr/>
              <w:t>Estrategias de fidelización.</w:t>
            </w:r>
          </w:p>
          <w:p>
            <w:pPr>
              <w:pStyle w:val="Normal"/>
              <w:widowControl w:val="false"/>
              <w:numPr>
                <w:ilvl w:val="1"/>
                <w:numId w:val="2"/>
              </w:numPr>
              <w:ind w:left="0" w:hanging="2"/>
              <w:jc w:val="both"/>
              <w:rPr/>
            </w:pPr>
            <w:r>
              <w:rPr/>
              <w:t>Programas de fidelización.</w:t>
            </w:r>
          </w:p>
          <w:p>
            <w:pPr>
              <w:pStyle w:val="Normal"/>
              <w:widowControl w:val="false"/>
              <w:numPr>
                <w:ilvl w:val="0"/>
                <w:numId w:val="2"/>
              </w:numPr>
              <w:ind w:left="0" w:hanging="2"/>
              <w:jc w:val="both"/>
              <w:rPr/>
            </w:pPr>
            <w:r>
              <w:rPr/>
              <w:t>Sistemas de información y bases de datos relacionadas con la atención al cliente.</w:t>
            </w:r>
          </w:p>
          <w:p>
            <w:pPr>
              <w:pStyle w:val="Normal"/>
              <w:widowControl w:val="false"/>
              <w:numPr>
                <w:ilvl w:val="0"/>
                <w:numId w:val="2"/>
              </w:numPr>
              <w:ind w:left="0" w:hanging="2"/>
              <w:jc w:val="both"/>
              <w:rPr/>
            </w:pPr>
            <w:r>
              <w:rPr/>
              <w:t>Variables que influyen en la atención al cliente.</w:t>
            </w:r>
          </w:p>
          <w:p>
            <w:pPr>
              <w:pStyle w:val="Normal"/>
              <w:widowControl w:val="false"/>
              <w:numPr>
                <w:ilvl w:val="1"/>
                <w:numId w:val="2"/>
              </w:numPr>
              <w:ind w:left="0" w:hanging="2"/>
              <w:jc w:val="both"/>
              <w:rPr/>
            </w:pPr>
            <w:r>
              <w:rPr/>
              <w:t>Posicionamiento e imagen de la marca.</w:t>
            </w:r>
          </w:p>
          <w:p>
            <w:pPr>
              <w:pStyle w:val="Normal"/>
              <w:widowControl w:val="false"/>
              <w:numPr>
                <w:ilvl w:val="1"/>
                <w:numId w:val="2"/>
              </w:numPr>
              <w:ind w:left="0" w:hanging="2"/>
              <w:jc w:val="both"/>
              <w:rPr/>
            </w:pPr>
            <w:r>
              <w:rPr/>
              <w:t>Relaciones públicas.</w:t>
            </w:r>
          </w:p>
        </w:tc>
      </w:tr>
    </w:tbl>
    <w:p>
      <w:pPr>
        <w:pStyle w:val="Normal"/>
        <w:ind w:hanging="2"/>
        <w:rPr/>
      </w:pPr>
      <w:r>
        <w:rPr/>
      </w:r>
    </w:p>
    <w:p>
      <w:pPr>
        <w:pStyle w:val="Normal"/>
        <w:ind w:hanging="2"/>
        <w:rPr/>
      </w:pPr>
      <w:r>
        <w:rPr/>
      </w:r>
    </w:p>
    <w:p>
      <w:pPr>
        <w:pStyle w:val="Normal"/>
        <w:ind w:hanging="2"/>
        <w:rPr/>
      </w:pPr>
      <w:r>
        <w:rPr/>
      </w:r>
    </w:p>
    <w:tbl>
      <w:tblPr>
        <w:tblStyle w:val="afffffff5"/>
        <w:tblW w:w="10324" w:type="dxa"/>
        <w:jc w:val="left"/>
        <w:tblInd w:w="-355" w:type="dxa"/>
        <w:tblLayout w:type="fixed"/>
        <w:tblCellMar>
          <w:top w:w="0" w:type="dxa"/>
          <w:left w:w="108" w:type="dxa"/>
          <w:bottom w:w="0" w:type="dxa"/>
          <w:right w:w="108" w:type="dxa"/>
        </w:tblCellMar>
        <w:tblLook w:val="0000" w:noHBand="0" w:noVBand="0" w:firstColumn="0" w:lastRow="0" w:lastColumn="0" w:firstRow="0"/>
      </w:tblPr>
      <w:tblGrid>
        <w:gridCol w:w="6486"/>
        <w:gridCol w:w="1913"/>
        <w:gridCol w:w="1925"/>
      </w:tblGrid>
      <w:tr>
        <w:trPr/>
        <w:tc>
          <w:tcPr>
            <w:tcW w:w="6486" w:type="dxa"/>
            <w:tcBorders>
              <w:top w:val="single" w:sz="4" w:space="0" w:color="000000"/>
              <w:left w:val="single" w:sz="4" w:space="0" w:color="000000"/>
              <w:bottom w:val="single" w:sz="4" w:space="0" w:color="000000"/>
            </w:tcBorders>
            <w:vAlign w:val="center"/>
          </w:tcPr>
          <w:p>
            <w:pPr>
              <w:pStyle w:val="Normal"/>
              <w:keepNext w:val="true"/>
              <w:widowControl w:val="false"/>
              <w:pBdr/>
              <w:ind w:hanging="2"/>
              <w:jc w:val="center"/>
              <w:rPr>
                <w:b/>
                <w:b/>
                <w:color w:val="000000"/>
                <w:sz w:val="22"/>
                <w:szCs w:val="22"/>
                <w:u w:val="single"/>
              </w:rPr>
            </w:pPr>
            <w:r>
              <w:rPr>
                <w:b/>
                <w:color w:val="000000"/>
                <w:sz w:val="22"/>
                <w:szCs w:val="22"/>
                <w:u w:val="single"/>
              </w:rPr>
              <w:t>Actividades concretas a realizar</w:t>
            </w:r>
          </w:p>
        </w:tc>
        <w:tc>
          <w:tcPr>
            <w:tcW w:w="1913" w:type="dxa"/>
            <w:tcBorders>
              <w:top w:val="single" w:sz="4" w:space="0" w:color="000000"/>
              <w:left w:val="single" w:sz="4" w:space="0" w:color="000000"/>
              <w:bottom w:val="single" w:sz="4" w:space="0" w:color="000000"/>
            </w:tcBorders>
            <w:vAlign w:val="center"/>
          </w:tcPr>
          <w:p>
            <w:pPr>
              <w:pStyle w:val="Normal"/>
              <w:keepNext w:val="true"/>
              <w:widowControl w:val="false"/>
              <w:pBdr/>
              <w:ind w:hanging="2"/>
              <w:jc w:val="center"/>
              <w:rPr>
                <w:b/>
                <w:b/>
                <w:color w:val="000000"/>
                <w:sz w:val="22"/>
                <w:szCs w:val="22"/>
                <w:u w:val="single"/>
              </w:rPr>
            </w:pPr>
            <w:r>
              <w:rPr>
                <w:b/>
                <w:color w:val="000000"/>
                <w:sz w:val="22"/>
                <w:szCs w:val="22"/>
                <w:u w:val="single"/>
              </w:rPr>
              <w:t>Objetivos</w:t>
            </w:r>
          </w:p>
          <w:p>
            <w:pPr>
              <w:pStyle w:val="Normal"/>
              <w:keepNext w:val="true"/>
              <w:widowControl w:val="false"/>
              <w:pBdr/>
              <w:ind w:hanging="2"/>
              <w:jc w:val="center"/>
              <w:rPr>
                <w:b/>
                <w:b/>
                <w:color w:val="000000"/>
                <w:sz w:val="22"/>
                <w:szCs w:val="22"/>
                <w:u w:val="single"/>
              </w:rPr>
            </w:pPr>
            <w:r>
              <w:rPr>
                <w:b/>
                <w:color w:val="000000"/>
                <w:sz w:val="22"/>
                <w:szCs w:val="22"/>
                <w:u w:val="single"/>
              </w:rPr>
              <w:t>Generales</w:t>
            </w:r>
          </w:p>
          <w:p>
            <w:pPr>
              <w:pStyle w:val="Normal"/>
              <w:keepNext w:val="true"/>
              <w:widowControl w:val="false"/>
              <w:pBdr/>
              <w:ind w:hanging="2"/>
              <w:jc w:val="center"/>
              <w:rPr>
                <w:b/>
                <w:b/>
                <w:color w:val="000000"/>
                <w:sz w:val="22"/>
                <w:szCs w:val="22"/>
                <w:u w:val="single"/>
              </w:rPr>
            </w:pPr>
            <w:r>
              <w:rPr>
                <w:b/>
                <w:color w:val="000000"/>
                <w:sz w:val="22"/>
                <w:szCs w:val="22"/>
                <w:u w:val="single"/>
              </w:rPr>
              <w:t>Trabajados</w:t>
            </w:r>
          </w:p>
        </w:tc>
        <w:tc>
          <w:tcPr>
            <w:tcW w:w="1925" w:type="dxa"/>
            <w:tcBorders>
              <w:top w:val="single" w:sz="4" w:space="0" w:color="000000"/>
              <w:left w:val="single" w:sz="4" w:space="0" w:color="000000"/>
              <w:bottom w:val="single" w:sz="4" w:space="0" w:color="000000"/>
              <w:right w:val="single" w:sz="4" w:space="0" w:color="000000"/>
            </w:tcBorders>
            <w:vAlign w:val="center"/>
          </w:tcPr>
          <w:p>
            <w:pPr>
              <w:pStyle w:val="Normal"/>
              <w:keepNext w:val="true"/>
              <w:widowControl w:val="false"/>
              <w:pBdr/>
              <w:ind w:hanging="2"/>
              <w:jc w:val="center"/>
              <w:rPr>
                <w:b/>
                <w:b/>
                <w:color w:val="000000"/>
                <w:sz w:val="22"/>
                <w:szCs w:val="22"/>
                <w:u w:val="single"/>
              </w:rPr>
            </w:pPr>
            <w:r>
              <w:rPr>
                <w:b/>
                <w:color w:val="000000"/>
                <w:sz w:val="22"/>
                <w:szCs w:val="22"/>
                <w:u w:val="single"/>
              </w:rPr>
              <w:t>Competencias Asociadas</w:t>
            </w:r>
          </w:p>
        </w:tc>
      </w:tr>
      <w:tr>
        <w:trPr/>
        <w:tc>
          <w:tcPr>
            <w:tcW w:w="6486" w:type="dxa"/>
            <w:tcBorders>
              <w:top w:val="single" w:sz="4" w:space="0" w:color="000000"/>
              <w:left w:val="single" w:sz="4" w:space="0" w:color="000000"/>
              <w:bottom w:val="single" w:sz="4" w:space="0" w:color="000000"/>
            </w:tcBorders>
          </w:tcPr>
          <w:p>
            <w:pPr>
              <w:pStyle w:val="Normal"/>
              <w:widowControl w:val="false"/>
              <w:numPr>
                <w:ilvl w:val="0"/>
                <w:numId w:val="6"/>
              </w:numPr>
              <w:pBdr/>
              <w:ind w:left="0" w:hanging="2"/>
              <w:jc w:val="both"/>
              <w:rPr>
                <w:color w:val="000000"/>
                <w:sz w:val="22"/>
                <w:szCs w:val="22"/>
              </w:rPr>
            </w:pPr>
            <w:r>
              <w:rPr>
                <w:color w:val="000000"/>
                <w:sz w:val="22"/>
                <w:szCs w:val="22"/>
              </w:rPr>
              <w:t>Lectura conjunta del tema. Y explicación de contenido.</w:t>
            </w:r>
          </w:p>
          <w:p>
            <w:pPr>
              <w:pStyle w:val="Normal"/>
              <w:widowControl w:val="false"/>
              <w:numPr>
                <w:ilvl w:val="0"/>
                <w:numId w:val="6"/>
              </w:numPr>
              <w:pBdr/>
              <w:ind w:left="0" w:hanging="2"/>
              <w:jc w:val="both"/>
              <w:rPr>
                <w:color w:val="000000"/>
                <w:sz w:val="22"/>
                <w:szCs w:val="22"/>
              </w:rPr>
            </w:pPr>
            <w:r>
              <w:rPr>
                <w:color w:val="000000"/>
                <w:sz w:val="22"/>
                <w:szCs w:val="22"/>
              </w:rPr>
              <w:t>Resolución por parte del alumnado de una serie de ejercicios relacionados con el tema como: definir cliente y distinguir los diferentes tipos según su comportamiento, analizar las motivaciones de compra y factores que inciden en su desarrollo por parte del cliente, etc.</w:t>
            </w:r>
          </w:p>
          <w:p>
            <w:pPr>
              <w:pStyle w:val="Normal"/>
              <w:widowControl w:val="false"/>
              <w:numPr>
                <w:ilvl w:val="0"/>
                <w:numId w:val="6"/>
              </w:numPr>
              <w:pBdr/>
              <w:ind w:left="0" w:hanging="2"/>
              <w:jc w:val="both"/>
              <w:rPr>
                <w:color w:val="000000"/>
                <w:sz w:val="22"/>
                <w:szCs w:val="22"/>
              </w:rPr>
            </w:pPr>
            <w:r>
              <w:rPr>
                <w:color w:val="000000"/>
                <w:sz w:val="22"/>
                <w:szCs w:val="22"/>
              </w:rPr>
              <w:t>Simulación relacionada con situaciones de atención al cliente.</w:t>
            </w:r>
          </w:p>
          <w:p>
            <w:pPr>
              <w:pStyle w:val="Normal"/>
              <w:widowControl w:val="false"/>
              <w:numPr>
                <w:ilvl w:val="0"/>
                <w:numId w:val="6"/>
              </w:numPr>
              <w:pBdr/>
              <w:ind w:left="0" w:hanging="2"/>
              <w:jc w:val="both"/>
              <w:rPr>
                <w:color w:val="000000"/>
                <w:sz w:val="22"/>
                <w:szCs w:val="22"/>
              </w:rPr>
            </w:pPr>
            <w:r>
              <w:rPr>
                <w:color w:val="000000"/>
                <w:sz w:val="22"/>
                <w:szCs w:val="22"/>
              </w:rPr>
              <w:t>ROLE PLAY</w:t>
            </w:r>
          </w:p>
          <w:p>
            <w:pPr>
              <w:pStyle w:val="Normal"/>
              <w:widowControl w:val="false"/>
              <w:numPr>
                <w:ilvl w:val="0"/>
                <w:numId w:val="6"/>
              </w:numPr>
              <w:pBdr/>
              <w:ind w:left="0" w:hanging="2"/>
              <w:jc w:val="both"/>
              <w:rPr>
                <w:color w:val="000000"/>
                <w:sz w:val="22"/>
                <w:szCs w:val="22"/>
              </w:rPr>
            </w:pPr>
            <w:r>
              <w:rPr>
                <w:color w:val="000000"/>
                <w:sz w:val="22"/>
                <w:szCs w:val="22"/>
              </w:rPr>
              <w:t>Análisis de campañas reales de fidelización del cliente.</w:t>
            </w:r>
          </w:p>
          <w:p>
            <w:pPr>
              <w:pStyle w:val="Normal"/>
              <w:widowControl w:val="false"/>
              <w:numPr>
                <w:ilvl w:val="0"/>
                <w:numId w:val="6"/>
              </w:numPr>
              <w:pBdr/>
              <w:ind w:left="0" w:hanging="2"/>
              <w:jc w:val="both"/>
              <w:rPr>
                <w:color w:val="000000"/>
                <w:sz w:val="22"/>
                <w:szCs w:val="22"/>
              </w:rPr>
            </w:pPr>
            <w:r>
              <w:rPr>
                <w:color w:val="000000"/>
                <w:sz w:val="22"/>
                <w:szCs w:val="22"/>
              </w:rPr>
              <w:t>Elaborar guía de atención de clientes según su personalidad.</w:t>
            </w:r>
          </w:p>
          <w:p>
            <w:pPr>
              <w:pStyle w:val="Normal"/>
              <w:widowControl w:val="false"/>
              <w:numPr>
                <w:ilvl w:val="0"/>
                <w:numId w:val="6"/>
              </w:numPr>
              <w:pBdr/>
              <w:ind w:left="0" w:hanging="2"/>
              <w:jc w:val="both"/>
              <w:rPr>
                <w:color w:val="000000"/>
                <w:sz w:val="22"/>
                <w:szCs w:val="22"/>
              </w:rPr>
            </w:pPr>
            <w:r>
              <w:rPr>
                <w:color w:val="000000"/>
                <w:sz w:val="22"/>
                <w:szCs w:val="22"/>
              </w:rPr>
              <w:t>Realización de encuesta de atención al cliente.</w:t>
            </w:r>
          </w:p>
          <w:p>
            <w:pPr>
              <w:pStyle w:val="Normal"/>
              <w:widowControl w:val="false"/>
              <w:numPr>
                <w:ilvl w:val="0"/>
                <w:numId w:val="6"/>
              </w:numPr>
              <w:pBdr/>
              <w:ind w:left="0" w:hanging="2"/>
              <w:jc w:val="both"/>
              <w:rPr>
                <w:color w:val="000000"/>
                <w:sz w:val="22"/>
                <w:szCs w:val="22"/>
              </w:rPr>
            </w:pPr>
            <w:r>
              <w:rPr>
                <w:color w:val="000000"/>
                <w:sz w:val="22"/>
                <w:szCs w:val="22"/>
              </w:rPr>
              <w:t>Kahoot de repaso</w:t>
            </w:r>
          </w:p>
          <w:p>
            <w:pPr>
              <w:pStyle w:val="Normal"/>
              <w:widowControl w:val="false"/>
              <w:numPr>
                <w:ilvl w:val="0"/>
                <w:numId w:val="6"/>
              </w:numPr>
              <w:pBdr/>
              <w:ind w:left="0" w:hanging="2"/>
              <w:jc w:val="both"/>
              <w:rPr>
                <w:color w:val="000000"/>
                <w:sz w:val="22"/>
                <w:szCs w:val="22"/>
              </w:rPr>
            </w:pPr>
            <w:r>
              <w:rPr>
                <w:color w:val="000000"/>
                <w:sz w:val="22"/>
                <w:szCs w:val="22"/>
              </w:rPr>
              <w:t>Formación en centros, DUAL</w:t>
            </w:r>
          </w:p>
        </w:tc>
        <w:tc>
          <w:tcPr>
            <w:tcW w:w="1913" w:type="dxa"/>
            <w:tcBorders>
              <w:top w:val="single" w:sz="4" w:space="0" w:color="000000"/>
              <w:left w:val="single" w:sz="4" w:space="0" w:color="000000"/>
              <w:bottom w:val="single" w:sz="4" w:space="0" w:color="000000"/>
            </w:tcBorders>
          </w:tcPr>
          <w:p>
            <w:pPr>
              <w:pStyle w:val="Normal"/>
              <w:keepNext w:val="true"/>
              <w:widowControl w:val="false"/>
              <w:pBdr/>
              <w:ind w:hanging="2"/>
              <w:jc w:val="center"/>
              <w:rPr>
                <w:color w:val="000000"/>
                <w:sz w:val="22"/>
                <w:szCs w:val="22"/>
              </w:rPr>
            </w:pPr>
            <w:r>
              <w:rPr>
                <w:color w:val="000000"/>
                <w:sz w:val="22"/>
                <w:szCs w:val="22"/>
              </w:rPr>
            </w:r>
          </w:p>
          <w:p>
            <w:pPr>
              <w:pStyle w:val="Normal"/>
              <w:keepNext w:val="true"/>
              <w:widowControl w:val="false"/>
              <w:pBdr/>
              <w:ind w:hanging="2"/>
              <w:jc w:val="center"/>
              <w:rPr>
                <w:color w:val="000000"/>
                <w:sz w:val="22"/>
                <w:szCs w:val="22"/>
              </w:rPr>
            </w:pPr>
            <w:r>
              <w:rPr>
                <w:color w:val="000000"/>
                <w:sz w:val="22"/>
                <w:szCs w:val="22"/>
              </w:rPr>
            </w:r>
          </w:p>
          <w:p>
            <w:pPr>
              <w:pStyle w:val="Normal"/>
              <w:keepNext w:val="true"/>
              <w:widowControl w:val="false"/>
              <w:pBdr/>
              <w:ind w:hanging="2"/>
              <w:jc w:val="center"/>
              <w:rPr>
                <w:color w:val="000000"/>
                <w:sz w:val="22"/>
                <w:szCs w:val="22"/>
              </w:rPr>
            </w:pPr>
            <w:r>
              <w:rPr>
                <w:color w:val="000000"/>
                <w:sz w:val="22"/>
                <w:szCs w:val="22"/>
              </w:rPr>
              <w:t>N</w:t>
            </w:r>
          </w:p>
        </w:tc>
        <w:tc>
          <w:tcPr>
            <w:tcW w:w="1925"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pBdr/>
              <w:ind w:hanging="2"/>
              <w:jc w:val="center"/>
              <w:rPr>
                <w:color w:val="000000"/>
                <w:sz w:val="22"/>
                <w:szCs w:val="22"/>
              </w:rPr>
            </w:pPr>
            <w:r>
              <w:rPr>
                <w:color w:val="000000"/>
                <w:sz w:val="22"/>
                <w:szCs w:val="22"/>
              </w:rPr>
            </w:r>
          </w:p>
          <w:p>
            <w:pPr>
              <w:pStyle w:val="Normal"/>
              <w:keepNext w:val="true"/>
              <w:widowControl w:val="false"/>
              <w:pBdr/>
              <w:ind w:hanging="2"/>
              <w:jc w:val="center"/>
              <w:rPr>
                <w:color w:val="000000"/>
                <w:sz w:val="22"/>
                <w:szCs w:val="22"/>
              </w:rPr>
            </w:pPr>
            <w:r>
              <w:rPr>
                <w:color w:val="000000"/>
                <w:sz w:val="22"/>
                <w:szCs w:val="22"/>
              </w:rPr>
            </w:r>
          </w:p>
          <w:p>
            <w:pPr>
              <w:pStyle w:val="Normal"/>
              <w:keepNext w:val="true"/>
              <w:widowControl w:val="false"/>
              <w:pBdr/>
              <w:ind w:hanging="2"/>
              <w:jc w:val="center"/>
              <w:rPr>
                <w:color w:val="000000"/>
                <w:sz w:val="22"/>
                <w:szCs w:val="22"/>
              </w:rPr>
            </w:pPr>
            <w:r>
              <w:rPr>
                <w:color w:val="000000"/>
                <w:sz w:val="22"/>
                <w:szCs w:val="22"/>
              </w:rPr>
              <w:t>L</w:t>
            </w:r>
          </w:p>
        </w:tc>
      </w:tr>
    </w:tbl>
    <w:p>
      <w:pPr>
        <w:pStyle w:val="Normal"/>
        <w:pBdr/>
        <w:tabs>
          <w:tab w:val="clear" w:pos="720"/>
          <w:tab w:val="right" w:pos="560" w:leader="none"/>
          <w:tab w:val="left" w:pos="680" w:leader="none"/>
        </w:tabs>
        <w:ind w:hanging="2"/>
        <w:jc w:val="both"/>
        <w:rPr>
          <w:color w:val="000000"/>
        </w:rPr>
      </w:pPr>
      <w:r>
        <w:rPr>
          <w:color w:val="000000"/>
        </w:rPr>
      </w:r>
    </w:p>
    <w:tbl>
      <w:tblPr>
        <w:tblStyle w:val="afffffff6"/>
        <w:tblW w:w="10286" w:type="dxa"/>
        <w:jc w:val="left"/>
        <w:tblInd w:w="-355" w:type="dxa"/>
        <w:tblLayout w:type="fixed"/>
        <w:tblCellMar>
          <w:top w:w="0" w:type="dxa"/>
          <w:left w:w="108" w:type="dxa"/>
          <w:bottom w:w="0" w:type="dxa"/>
          <w:right w:w="108" w:type="dxa"/>
        </w:tblCellMar>
        <w:tblLook w:val="0000" w:noHBand="0" w:noVBand="0" w:firstColumn="0" w:lastRow="0" w:lastColumn="0" w:firstRow="0"/>
      </w:tblPr>
      <w:tblGrid>
        <w:gridCol w:w="6170"/>
        <w:gridCol w:w="1984"/>
        <w:gridCol w:w="2132"/>
      </w:tblGrid>
      <w:tr>
        <w:trPr/>
        <w:tc>
          <w:tcPr>
            <w:tcW w:w="10286" w:type="dxa"/>
            <w:gridSpan w:val="3"/>
            <w:tcBorders>
              <w:top w:val="single" w:sz="4" w:space="0" w:color="000000"/>
              <w:left w:val="single" w:sz="4" w:space="0" w:color="000000"/>
              <w:bottom w:val="single" w:sz="4" w:space="0" w:color="000000"/>
              <w:right w:val="single" w:sz="4" w:space="0" w:color="000000"/>
            </w:tcBorders>
            <w:shd w:color="auto" w:fill="B3B3B3" w:val="clear"/>
          </w:tcPr>
          <w:p>
            <w:pPr>
              <w:pStyle w:val="Normal"/>
              <w:keepNext w:val="true"/>
              <w:widowControl w:val="false"/>
              <w:pBdr/>
              <w:ind w:hanging="2"/>
              <w:jc w:val="center"/>
              <w:rPr>
                <w:b/>
                <w:b/>
                <w:color w:val="000000"/>
              </w:rPr>
            </w:pPr>
            <w:r>
              <w:rPr>
                <w:b/>
                <w:color w:val="000000"/>
              </w:rPr>
              <w:t>CRITERIOS DE:</w:t>
            </w:r>
          </w:p>
        </w:tc>
      </w:tr>
      <w:tr>
        <w:trPr/>
        <w:tc>
          <w:tcPr>
            <w:tcW w:w="6170" w:type="dxa"/>
            <w:tcBorders>
              <w:top w:val="single" w:sz="4" w:space="0" w:color="000000"/>
              <w:left w:val="single" w:sz="4" w:space="0" w:color="000000"/>
              <w:bottom w:val="single" w:sz="4" w:space="0" w:color="000000"/>
            </w:tcBorders>
            <w:shd w:color="auto" w:fill="D9D9D9" w:val="clear"/>
          </w:tcPr>
          <w:p>
            <w:pPr>
              <w:pStyle w:val="Normal"/>
              <w:widowControl w:val="false"/>
              <w:pBdr/>
              <w:ind w:hanging="2"/>
              <w:jc w:val="center"/>
              <w:rPr>
                <w:b/>
                <w:b/>
                <w:color w:val="000000"/>
              </w:rPr>
            </w:pPr>
            <w:r>
              <w:rPr>
                <w:b/>
                <w:color w:val="000000"/>
              </w:rPr>
              <w:t>EVALUACIÓN</w:t>
            </w:r>
          </w:p>
        </w:tc>
        <w:tc>
          <w:tcPr>
            <w:tcW w:w="1984" w:type="dxa"/>
            <w:tcBorders>
              <w:top w:val="single" w:sz="4" w:space="0" w:color="000000"/>
              <w:left w:val="single" w:sz="4" w:space="0" w:color="000000"/>
              <w:bottom w:val="single" w:sz="4" w:space="0" w:color="000000"/>
            </w:tcBorders>
            <w:shd w:color="auto" w:fill="D9D9D9" w:val="clear"/>
          </w:tcPr>
          <w:p>
            <w:pPr>
              <w:pStyle w:val="Normal"/>
              <w:widowControl w:val="false"/>
              <w:pBdr/>
              <w:ind w:hanging="2"/>
              <w:rPr>
                <w:b/>
                <w:b/>
                <w:color w:val="000000"/>
                <w:sz w:val="20"/>
                <w:szCs w:val="20"/>
              </w:rPr>
            </w:pPr>
            <w:r>
              <w:rPr>
                <w:b/>
                <w:color w:val="000000"/>
                <w:sz w:val="20"/>
                <w:szCs w:val="20"/>
              </w:rPr>
              <w:t>CALIFICACIÓN</w:t>
            </w:r>
          </w:p>
        </w:tc>
        <w:tc>
          <w:tcPr>
            <w:tcW w:w="2132" w:type="dxa"/>
            <w:tcBorders>
              <w:top w:val="single" w:sz="4" w:space="0" w:color="000000"/>
              <w:left w:val="single" w:sz="4" w:space="0" w:color="000000"/>
              <w:bottom w:val="single" w:sz="4" w:space="0" w:color="000000"/>
              <w:right w:val="single" w:sz="4" w:space="0" w:color="000000"/>
            </w:tcBorders>
            <w:shd w:color="auto" w:fill="D9D9D9" w:val="clear"/>
          </w:tcPr>
          <w:p>
            <w:pPr>
              <w:pStyle w:val="Normal"/>
              <w:widowControl w:val="false"/>
              <w:pBdr/>
              <w:ind w:hanging="2"/>
              <w:rPr>
                <w:b/>
                <w:b/>
                <w:color w:val="000000"/>
                <w:sz w:val="20"/>
                <w:szCs w:val="20"/>
              </w:rPr>
            </w:pPr>
            <w:r>
              <w:rPr>
                <w:b/>
                <w:color w:val="000000"/>
                <w:sz w:val="20"/>
                <w:szCs w:val="20"/>
              </w:rPr>
              <w:t>RECUPERACIÓN</w:t>
            </w:r>
          </w:p>
        </w:tc>
      </w:tr>
      <w:tr>
        <w:trPr/>
        <w:tc>
          <w:tcPr>
            <w:tcW w:w="6170" w:type="dxa"/>
            <w:tcBorders>
              <w:top w:val="single" w:sz="4" w:space="0" w:color="000000"/>
              <w:left w:val="single" w:sz="4" w:space="0" w:color="000000"/>
              <w:bottom w:val="single" w:sz="4" w:space="0" w:color="000000"/>
            </w:tcBorders>
          </w:tcPr>
          <w:p>
            <w:pPr>
              <w:pStyle w:val="Normal"/>
              <w:widowControl w:val="false"/>
              <w:numPr>
                <w:ilvl w:val="0"/>
                <w:numId w:val="16"/>
              </w:numPr>
              <w:pBdr/>
              <w:ind w:left="0" w:hanging="2"/>
              <w:jc w:val="both"/>
              <w:rPr>
                <w:color w:val="000000"/>
                <w:sz w:val="22"/>
                <w:szCs w:val="22"/>
              </w:rPr>
            </w:pPr>
            <w:r>
              <w:rPr>
                <w:color w:val="000000"/>
                <w:sz w:val="22"/>
                <w:szCs w:val="22"/>
              </w:rPr>
              <w:t>A) Se han aplicado técnicas de comunicación y habilidades sociales que facilitan la empatía con el cliente/usuario en situaciones de atención/asesoramiento al mismo.</w:t>
            </w:r>
          </w:p>
          <w:p>
            <w:pPr>
              <w:pStyle w:val="Normal"/>
              <w:widowControl w:val="false"/>
              <w:numPr>
                <w:ilvl w:val="0"/>
                <w:numId w:val="16"/>
              </w:numPr>
              <w:pBdr/>
              <w:ind w:left="0" w:hanging="2"/>
              <w:jc w:val="both"/>
              <w:rPr>
                <w:color w:val="000000"/>
                <w:sz w:val="22"/>
                <w:szCs w:val="22"/>
              </w:rPr>
            </w:pPr>
            <w:r>
              <w:rPr>
                <w:color w:val="000000"/>
                <w:sz w:val="22"/>
                <w:szCs w:val="22"/>
              </w:rPr>
              <w:t>B) Se han identificado las fases que componen el proceso de atención al cliente/consumidor/usuario a través de diferentes canales de comunicación.</w:t>
            </w:r>
          </w:p>
          <w:p>
            <w:pPr>
              <w:pStyle w:val="Normal"/>
              <w:widowControl w:val="false"/>
              <w:numPr>
                <w:ilvl w:val="0"/>
                <w:numId w:val="16"/>
              </w:numPr>
              <w:pBdr/>
              <w:ind w:left="0" w:hanging="2"/>
              <w:jc w:val="both"/>
              <w:rPr>
                <w:color w:val="000000"/>
                <w:sz w:val="22"/>
                <w:szCs w:val="22"/>
              </w:rPr>
            </w:pPr>
            <w:r>
              <w:rPr>
                <w:color w:val="000000"/>
                <w:sz w:val="22"/>
                <w:szCs w:val="22"/>
              </w:rPr>
              <w:t>C) Se ha adoptado la actitud más adecuada según el comportamiento del cliente ante diversos tipos de situaciones.</w:t>
            </w:r>
          </w:p>
          <w:p>
            <w:pPr>
              <w:pStyle w:val="Normal"/>
              <w:widowControl w:val="false"/>
              <w:numPr>
                <w:ilvl w:val="0"/>
                <w:numId w:val="16"/>
              </w:numPr>
              <w:pBdr/>
              <w:ind w:left="0" w:hanging="2"/>
              <w:jc w:val="both"/>
              <w:rPr>
                <w:color w:val="000000"/>
                <w:sz w:val="22"/>
                <w:szCs w:val="22"/>
              </w:rPr>
            </w:pPr>
            <w:r>
              <w:rPr>
                <w:color w:val="000000"/>
                <w:sz w:val="22"/>
                <w:szCs w:val="22"/>
              </w:rPr>
              <w:t>D) Se han analizado las motivaciones de compra o demanda de un producto o servicio por parte del cliente/usuario.</w:t>
            </w:r>
          </w:p>
          <w:p>
            <w:pPr>
              <w:pStyle w:val="Normal"/>
              <w:widowControl w:val="false"/>
              <w:numPr>
                <w:ilvl w:val="0"/>
                <w:numId w:val="16"/>
              </w:numPr>
              <w:pBdr/>
              <w:ind w:left="0" w:hanging="2"/>
              <w:jc w:val="both"/>
              <w:rPr>
                <w:color w:val="000000"/>
                <w:sz w:val="22"/>
                <w:szCs w:val="22"/>
              </w:rPr>
            </w:pPr>
            <w:r>
              <w:rPr>
                <w:color w:val="000000"/>
                <w:sz w:val="22"/>
                <w:szCs w:val="22"/>
              </w:rPr>
              <w:t>E) Se ha obtenido, en su caso, la información histórica del cliente.  DUAL</w:t>
            </w:r>
          </w:p>
          <w:p>
            <w:pPr>
              <w:pStyle w:val="Normal"/>
              <w:widowControl w:val="false"/>
              <w:numPr>
                <w:ilvl w:val="0"/>
                <w:numId w:val="16"/>
              </w:numPr>
              <w:pBdr/>
              <w:ind w:left="0" w:hanging="2"/>
              <w:jc w:val="both"/>
              <w:rPr>
                <w:color w:val="000000"/>
                <w:sz w:val="22"/>
                <w:szCs w:val="22"/>
              </w:rPr>
            </w:pPr>
            <w:r>
              <w:rPr>
                <w:color w:val="000000"/>
                <w:sz w:val="22"/>
                <w:szCs w:val="22"/>
              </w:rPr>
              <w:t>F) Se ha aplicado la forma y actitud adecuadas en la atención y asesoramiento a un cliente en función del canal de comunicación utilizado. DUAL</w:t>
            </w:r>
          </w:p>
          <w:p>
            <w:pPr>
              <w:pStyle w:val="Normal"/>
              <w:widowControl w:val="false"/>
              <w:numPr>
                <w:ilvl w:val="0"/>
                <w:numId w:val="16"/>
              </w:numPr>
              <w:ind w:left="0" w:hanging="2"/>
              <w:jc w:val="both"/>
              <w:rPr/>
            </w:pPr>
            <w:r>
              <w:rPr>
                <w:color w:val="000000"/>
                <w:sz w:val="22"/>
                <w:szCs w:val="22"/>
              </w:rPr>
              <w:t>G) Se han analizado y solucionado los errores más habituales que se cometen en la comunicación con el cliente/usuario.</w:t>
            </w:r>
          </w:p>
          <w:p>
            <w:pPr>
              <w:pStyle w:val="Normal"/>
              <w:widowControl w:val="false"/>
              <w:ind w:hanging="2"/>
              <w:jc w:val="both"/>
              <w:rPr/>
            </w:pPr>
            <w:r>
              <w:rPr/>
            </w:r>
          </w:p>
          <w:p>
            <w:pPr>
              <w:pStyle w:val="Normal"/>
              <w:widowControl w:val="false"/>
              <w:ind w:hanging="2"/>
              <w:jc w:val="both"/>
              <w:rPr/>
            </w:pPr>
            <w:r>
              <w:rPr/>
            </w:r>
          </w:p>
        </w:tc>
        <w:tc>
          <w:tcPr>
            <w:tcW w:w="1984" w:type="dxa"/>
            <w:tcBorders>
              <w:top w:val="single" w:sz="4" w:space="0" w:color="000000"/>
              <w:left w:val="single" w:sz="4" w:space="0" w:color="000000"/>
              <w:bottom w:val="single" w:sz="4" w:space="0" w:color="000000"/>
            </w:tcBorders>
          </w:tcPr>
          <w:p>
            <w:pPr>
              <w:pStyle w:val="Normal"/>
              <w:widowControl w:val="false"/>
              <w:ind w:hanging="2"/>
              <w:rPr>
                <w:sz w:val="22"/>
                <w:szCs w:val="22"/>
              </w:rPr>
            </w:pPr>
            <w:r>
              <w:rPr>
                <w:sz w:val="22"/>
                <w:szCs w:val="22"/>
              </w:rPr>
              <w:t>Los que se han detallado al inicio de esta programación.</w:t>
            </w:r>
          </w:p>
        </w:tc>
        <w:tc>
          <w:tcPr>
            <w:tcW w:w="2132" w:type="dxa"/>
            <w:tcBorders>
              <w:top w:val="single" w:sz="4" w:space="0" w:color="000000"/>
              <w:left w:val="single" w:sz="4" w:space="0" w:color="000000"/>
              <w:bottom w:val="single" w:sz="4" w:space="0" w:color="000000"/>
              <w:right w:val="single" w:sz="4" w:space="0" w:color="000000"/>
            </w:tcBorders>
          </w:tcPr>
          <w:p>
            <w:pPr>
              <w:pStyle w:val="Normal"/>
              <w:widowControl w:val="false"/>
              <w:ind w:hanging="2"/>
              <w:rPr>
                <w:sz w:val="22"/>
                <w:szCs w:val="22"/>
              </w:rPr>
            </w:pPr>
            <w:r>
              <w:rPr>
                <w:sz w:val="22"/>
                <w:szCs w:val="22"/>
              </w:rPr>
              <w:t>Los que se han detallado al inicio de esta programación.</w:t>
            </w:r>
          </w:p>
        </w:tc>
      </w:tr>
    </w:tbl>
    <w:p>
      <w:pPr>
        <w:pStyle w:val="Normal"/>
        <w:pBdr/>
        <w:tabs>
          <w:tab w:val="clear" w:pos="720"/>
          <w:tab w:val="right" w:pos="560" w:leader="none"/>
          <w:tab w:val="left" w:pos="680" w:leader="none"/>
        </w:tabs>
        <w:ind w:hanging="2"/>
        <w:jc w:val="both"/>
        <w:rPr>
          <w:color w:val="000000"/>
        </w:rPr>
      </w:pPr>
      <w:r>
        <w:rPr>
          <w:color w:val="000000"/>
        </w:rPr>
      </w:r>
    </w:p>
    <w:p>
      <w:pPr>
        <w:pStyle w:val="Normal"/>
        <w:ind w:hanging="2"/>
        <w:jc w:val="both"/>
        <w:rPr/>
      </w:pPr>
      <w:r>
        <w:rPr/>
      </w:r>
    </w:p>
    <w:p>
      <w:pPr>
        <w:pStyle w:val="Normal"/>
        <w:ind w:hanging="2"/>
        <w:jc w:val="both"/>
        <w:rPr/>
      </w:pPr>
      <w:r>
        <w:rPr/>
      </w:r>
    </w:p>
    <w:p>
      <w:pPr>
        <w:pStyle w:val="Normal"/>
        <w:ind w:hanging="2"/>
        <w:rPr/>
      </w:pPr>
      <w:r>
        <w:rPr/>
      </w:r>
      <w:r>
        <w:br w:type="page"/>
      </w:r>
    </w:p>
    <w:p>
      <w:pPr>
        <w:pStyle w:val="Normal"/>
        <w:ind w:hanging="2"/>
        <w:jc w:val="both"/>
        <w:rPr/>
      </w:pPr>
      <w:r>
        <w:rPr/>
      </w:r>
    </w:p>
    <w:p>
      <w:pPr>
        <w:pStyle w:val="Normal"/>
        <w:ind w:hanging="2"/>
        <w:rPr/>
      </w:pPr>
      <w:r>
        <w:rPr/>
      </w:r>
    </w:p>
    <w:tbl>
      <w:tblPr>
        <w:tblStyle w:val="afffffff7"/>
        <w:tblW w:w="10354" w:type="dxa"/>
        <w:jc w:val="left"/>
        <w:tblInd w:w="-355" w:type="dxa"/>
        <w:tblLayout w:type="fixed"/>
        <w:tblCellMar>
          <w:top w:w="0" w:type="dxa"/>
          <w:left w:w="108" w:type="dxa"/>
          <w:bottom w:w="0" w:type="dxa"/>
          <w:right w:w="108" w:type="dxa"/>
        </w:tblCellMar>
        <w:tblLook w:val="0000" w:noHBand="0" w:noVBand="0" w:firstColumn="0" w:lastRow="0" w:lastColumn="0" w:firstRow="0"/>
      </w:tblPr>
      <w:tblGrid>
        <w:gridCol w:w="2479"/>
        <w:gridCol w:w="5251"/>
        <w:gridCol w:w="2624"/>
      </w:tblGrid>
      <w:tr>
        <w:trPr/>
        <w:tc>
          <w:tcPr>
            <w:tcW w:w="2479" w:type="dxa"/>
            <w:tcBorders>
              <w:top w:val="single" w:sz="4" w:space="0" w:color="000000"/>
              <w:left w:val="single" w:sz="4" w:space="0" w:color="000000"/>
              <w:bottom w:val="single" w:sz="4" w:space="0" w:color="000000"/>
            </w:tcBorders>
            <w:shd w:color="auto" w:fill="D9D9D9" w:val="clear"/>
            <w:vAlign w:val="center"/>
          </w:tcPr>
          <w:p>
            <w:pPr>
              <w:pStyle w:val="Normal"/>
              <w:widowControl w:val="false"/>
              <w:ind w:hanging="2"/>
              <w:jc w:val="center"/>
              <w:rPr/>
            </w:pPr>
            <w:r>
              <w:rPr>
                <w:b/>
              </w:rPr>
              <w:t xml:space="preserve"> </w:t>
            </w:r>
            <w:r>
              <w:rPr>
                <w:b/>
              </w:rPr>
              <w:t>UD 5</w:t>
            </w:r>
          </w:p>
        </w:tc>
        <w:tc>
          <w:tcPr>
            <w:tcW w:w="5251" w:type="dxa"/>
            <w:tcBorders>
              <w:top w:val="single" w:sz="4" w:space="0" w:color="000000"/>
              <w:left w:val="single" w:sz="4" w:space="0" w:color="000000"/>
              <w:bottom w:val="single" w:sz="4" w:space="0" w:color="000000"/>
            </w:tcBorders>
            <w:shd w:color="auto" w:fill="D9D9D9" w:val="clear"/>
          </w:tcPr>
          <w:p>
            <w:pPr>
              <w:pStyle w:val="Normal"/>
              <w:widowControl w:val="false"/>
              <w:ind w:hanging="2"/>
              <w:jc w:val="center"/>
              <w:rPr/>
            </w:pPr>
            <w:r>
              <w:rPr>
                <w:b/>
              </w:rPr>
              <w:t>GESTIÓN DE CONSULTAS, QUEJAS Y RECLAMACIONES</w:t>
            </w:r>
          </w:p>
        </w:tc>
        <w:tc>
          <w:tcPr>
            <w:tcW w:w="2624" w:type="dxa"/>
            <w:tcBorders>
              <w:top w:val="single" w:sz="4" w:space="0" w:color="000000"/>
              <w:left w:val="single" w:sz="4" w:space="0" w:color="000000"/>
              <w:bottom w:val="single" w:sz="4" w:space="0" w:color="000000"/>
              <w:right w:val="single" w:sz="4" w:space="0" w:color="000000"/>
            </w:tcBorders>
            <w:shd w:color="auto" w:fill="D9D9D9" w:val="clear"/>
          </w:tcPr>
          <w:p>
            <w:pPr>
              <w:pStyle w:val="Normal"/>
              <w:keepNext w:val="true"/>
              <w:widowControl w:val="false"/>
              <w:pBdr/>
              <w:ind w:hanging="2"/>
              <w:jc w:val="center"/>
              <w:rPr>
                <w:b/>
                <w:b/>
                <w:color w:val="000000"/>
                <w:u w:val="single"/>
              </w:rPr>
            </w:pPr>
            <w:r>
              <w:rPr>
                <w:b/>
                <w:color w:val="000000"/>
              </w:rPr>
              <w:t>Nº de horas previstas</w:t>
            </w:r>
          </w:p>
          <w:p>
            <w:pPr>
              <w:pStyle w:val="Normal"/>
              <w:widowControl w:val="false"/>
              <w:ind w:hanging="2"/>
              <w:jc w:val="center"/>
              <w:rPr/>
            </w:pPr>
            <w:r>
              <w:rPr>
                <w:b/>
              </w:rPr>
              <w:t>12/12</w:t>
            </w:r>
          </w:p>
          <w:p>
            <w:pPr>
              <w:pStyle w:val="Normal"/>
              <w:widowControl w:val="false"/>
              <w:ind w:hanging="2"/>
              <w:jc w:val="center"/>
              <w:rPr/>
            </w:pPr>
            <w:r>
              <w:rPr/>
            </w:r>
          </w:p>
        </w:tc>
      </w:tr>
    </w:tbl>
    <w:p>
      <w:pPr>
        <w:pStyle w:val="Normal"/>
        <w:widowControl w:val="false"/>
        <w:pBdr/>
        <w:spacing w:lineRule="auto" w:line="276"/>
        <w:ind w:hanging="2"/>
        <w:rPr/>
      </w:pPr>
      <w:r>
        <w:rPr/>
      </w:r>
    </w:p>
    <w:tbl>
      <w:tblPr>
        <w:tblStyle w:val="afffffff8"/>
        <w:tblW w:w="9384" w:type="dxa"/>
        <w:jc w:val="left"/>
        <w:tblInd w:w="-444" w:type="dxa"/>
        <w:tblLayout w:type="fixed"/>
        <w:tblCellMar>
          <w:top w:w="0" w:type="dxa"/>
          <w:left w:w="108" w:type="dxa"/>
          <w:bottom w:w="0" w:type="dxa"/>
          <w:right w:w="108" w:type="dxa"/>
        </w:tblCellMar>
        <w:tblLook w:val="0000" w:noHBand="0" w:noVBand="0" w:firstColumn="0" w:lastRow="0" w:lastColumn="0" w:firstRow="0"/>
      </w:tblPr>
      <w:tblGrid>
        <w:gridCol w:w="9384"/>
      </w:tblGrid>
      <w:tr>
        <w:trPr>
          <w:trHeight w:val="4488" w:hRule="atLeast"/>
        </w:trPr>
        <w:tc>
          <w:tcPr>
            <w:tcW w:w="9384" w:type="dxa"/>
            <w:tcBorders>
              <w:top w:val="single" w:sz="4" w:space="0" w:color="000000"/>
              <w:left w:val="single" w:sz="4" w:space="0" w:color="000000"/>
              <w:bottom w:val="single" w:sz="4" w:space="0" w:color="000000"/>
              <w:right w:val="single" w:sz="4" w:space="0" w:color="000000"/>
            </w:tcBorders>
          </w:tcPr>
          <w:p>
            <w:pPr>
              <w:pStyle w:val="Normal"/>
              <w:widowControl w:val="false"/>
              <w:ind w:hanging="2"/>
              <w:rPr/>
            </w:pPr>
            <w:r>
              <w:rPr/>
            </w:r>
          </w:p>
          <w:p>
            <w:pPr>
              <w:pStyle w:val="Normal"/>
              <w:keepNext w:val="true"/>
              <w:widowControl w:val="false"/>
              <w:pBdr/>
              <w:ind w:hanging="2"/>
              <w:jc w:val="both"/>
              <w:rPr>
                <w:color w:val="000000"/>
              </w:rPr>
            </w:pPr>
            <w:r>
              <w:rPr>
                <w:b/>
                <w:color w:val="000000"/>
                <w:u w:val="single"/>
              </w:rPr>
              <w:t>Contenidos</w:t>
            </w:r>
            <w:r>
              <w:rPr>
                <w:b/>
                <w:color w:val="000000"/>
              </w:rPr>
              <w:t>:</w:t>
            </w:r>
          </w:p>
          <w:p>
            <w:pPr>
              <w:pStyle w:val="Normal"/>
              <w:widowControl w:val="false"/>
              <w:ind w:hanging="2"/>
              <w:rPr/>
            </w:pPr>
            <w:r>
              <w:rPr/>
            </w:r>
          </w:p>
          <w:p>
            <w:pPr>
              <w:pStyle w:val="Normal"/>
              <w:widowControl w:val="false"/>
              <w:numPr>
                <w:ilvl w:val="0"/>
                <w:numId w:val="3"/>
              </w:numPr>
              <w:ind w:left="0" w:hanging="2"/>
              <w:jc w:val="both"/>
              <w:rPr/>
            </w:pPr>
            <w:r>
              <w:rPr/>
              <w:t>Protección del consumidor.</w:t>
            </w:r>
          </w:p>
          <w:p>
            <w:pPr>
              <w:pStyle w:val="Normal"/>
              <w:widowControl w:val="false"/>
              <w:numPr>
                <w:ilvl w:val="1"/>
                <w:numId w:val="3"/>
              </w:numPr>
              <w:ind w:left="0" w:hanging="2"/>
              <w:jc w:val="both"/>
              <w:rPr/>
            </w:pPr>
            <w:r>
              <w:rPr/>
              <w:t>Diferencias entre consumidor, usuario y cliente.</w:t>
            </w:r>
          </w:p>
          <w:p>
            <w:pPr>
              <w:pStyle w:val="Normal"/>
              <w:widowControl w:val="false"/>
              <w:numPr>
                <w:ilvl w:val="1"/>
                <w:numId w:val="3"/>
              </w:numPr>
              <w:ind w:left="0" w:hanging="2"/>
              <w:jc w:val="both"/>
              <w:rPr/>
            </w:pPr>
            <w:r>
              <w:rPr/>
              <w:t>Derechos de los consumidores. Marco legislativo.</w:t>
            </w:r>
          </w:p>
          <w:p>
            <w:pPr>
              <w:pStyle w:val="Normal"/>
              <w:widowControl w:val="false"/>
              <w:numPr>
                <w:ilvl w:val="0"/>
                <w:numId w:val="3"/>
              </w:numPr>
              <w:ind w:left="0" w:hanging="2"/>
              <w:jc w:val="both"/>
              <w:rPr/>
            </w:pPr>
            <w:r>
              <w:rPr/>
              <w:t>Instituciones y organismos públicos y privados de protección al consumidor.</w:t>
            </w:r>
          </w:p>
          <w:p>
            <w:pPr>
              <w:pStyle w:val="Normal"/>
              <w:widowControl w:val="false"/>
              <w:numPr>
                <w:ilvl w:val="1"/>
                <w:numId w:val="3"/>
              </w:numPr>
              <w:ind w:left="0" w:hanging="2"/>
              <w:jc w:val="both"/>
              <w:rPr/>
            </w:pPr>
            <w:r>
              <w:rPr/>
              <w:t>Organismos públicos de protección del consumidor.</w:t>
            </w:r>
          </w:p>
          <w:p>
            <w:pPr>
              <w:pStyle w:val="Normal"/>
              <w:widowControl w:val="false"/>
              <w:numPr>
                <w:ilvl w:val="1"/>
                <w:numId w:val="3"/>
              </w:numPr>
              <w:ind w:left="0" w:hanging="2"/>
              <w:jc w:val="both"/>
              <w:rPr/>
            </w:pPr>
            <w:r>
              <w:rPr/>
              <w:t>Las asociaciones de consumidores y usuarios.</w:t>
            </w:r>
          </w:p>
          <w:p>
            <w:pPr>
              <w:pStyle w:val="Normal"/>
              <w:widowControl w:val="false"/>
              <w:numPr>
                <w:ilvl w:val="0"/>
                <w:numId w:val="3"/>
              </w:numPr>
              <w:ind w:left="0" w:hanging="2"/>
              <w:jc w:val="both"/>
              <w:rPr/>
            </w:pPr>
            <w:r>
              <w:rPr/>
              <w:t>Protección del consumidor o usuario en Internet.</w:t>
            </w:r>
          </w:p>
          <w:p>
            <w:pPr>
              <w:pStyle w:val="Normal"/>
              <w:widowControl w:val="false"/>
              <w:numPr>
                <w:ilvl w:val="0"/>
                <w:numId w:val="3"/>
              </w:numPr>
              <w:ind w:left="0" w:hanging="2"/>
              <w:jc w:val="both"/>
              <w:rPr/>
            </w:pPr>
            <w:r>
              <w:rPr/>
              <w:t>Sugerencias, quejas y reclamaciones.</w:t>
            </w:r>
          </w:p>
          <w:p>
            <w:pPr>
              <w:pStyle w:val="Normal"/>
              <w:widowControl w:val="false"/>
              <w:numPr>
                <w:ilvl w:val="1"/>
                <w:numId w:val="3"/>
              </w:numPr>
              <w:ind w:left="0" w:hanging="2"/>
              <w:jc w:val="both"/>
              <w:rPr/>
            </w:pPr>
            <w:r>
              <w:rPr/>
              <w:t>Diferencias entre sugerencia, queja y reclamación.</w:t>
            </w:r>
          </w:p>
          <w:p>
            <w:pPr>
              <w:pStyle w:val="Normal"/>
              <w:widowControl w:val="false"/>
              <w:numPr>
                <w:ilvl w:val="1"/>
                <w:numId w:val="3"/>
              </w:numPr>
              <w:ind w:left="0" w:hanging="2"/>
              <w:jc w:val="both"/>
              <w:rPr/>
            </w:pPr>
            <w:r>
              <w:rPr/>
              <w:t>Cómo realizar una reclamación.</w:t>
            </w:r>
          </w:p>
          <w:p>
            <w:pPr>
              <w:pStyle w:val="Normal"/>
              <w:widowControl w:val="false"/>
              <w:numPr>
                <w:ilvl w:val="0"/>
                <w:numId w:val="3"/>
              </w:numPr>
              <w:ind w:left="0" w:hanging="2"/>
              <w:jc w:val="both"/>
              <w:rPr/>
            </w:pPr>
            <w:r>
              <w:rPr/>
              <w:t>Mediación y arbitraje.</w:t>
            </w:r>
          </w:p>
          <w:p>
            <w:pPr>
              <w:pStyle w:val="Normal"/>
              <w:widowControl w:val="false"/>
              <w:numPr>
                <w:ilvl w:val="1"/>
                <w:numId w:val="3"/>
              </w:numPr>
              <w:ind w:left="0" w:hanging="2"/>
              <w:jc w:val="both"/>
              <w:rPr/>
            </w:pPr>
            <w:r>
              <w:rPr/>
              <w:t>Mediación.</w:t>
            </w:r>
          </w:p>
          <w:p>
            <w:pPr>
              <w:pStyle w:val="Normal"/>
              <w:widowControl w:val="false"/>
              <w:numPr>
                <w:ilvl w:val="1"/>
                <w:numId w:val="3"/>
              </w:numPr>
              <w:ind w:left="0" w:hanging="2"/>
              <w:jc w:val="both"/>
              <w:rPr/>
            </w:pPr>
            <w:r>
              <w:rPr/>
              <w:t>Arbitraje de consumo.</w:t>
            </w:r>
          </w:p>
        </w:tc>
      </w:tr>
    </w:tbl>
    <w:p>
      <w:pPr>
        <w:pStyle w:val="Normal"/>
        <w:ind w:hanging="2"/>
        <w:rPr/>
      </w:pPr>
      <w:r>
        <w:rPr/>
      </w:r>
    </w:p>
    <w:tbl>
      <w:tblPr>
        <w:tblStyle w:val="afffffff9"/>
        <w:tblW w:w="10324" w:type="dxa"/>
        <w:jc w:val="left"/>
        <w:tblInd w:w="-355" w:type="dxa"/>
        <w:tblLayout w:type="fixed"/>
        <w:tblCellMar>
          <w:top w:w="0" w:type="dxa"/>
          <w:left w:w="108" w:type="dxa"/>
          <w:bottom w:w="0" w:type="dxa"/>
          <w:right w:w="108" w:type="dxa"/>
        </w:tblCellMar>
        <w:tblLook w:val="0000" w:noHBand="0" w:noVBand="0" w:firstColumn="0" w:lastRow="0" w:lastColumn="0" w:firstRow="0"/>
      </w:tblPr>
      <w:tblGrid>
        <w:gridCol w:w="5924"/>
        <w:gridCol w:w="2126"/>
        <w:gridCol w:w="2274"/>
      </w:tblGrid>
      <w:tr>
        <w:trPr/>
        <w:tc>
          <w:tcPr>
            <w:tcW w:w="5924" w:type="dxa"/>
            <w:tcBorders>
              <w:top w:val="single" w:sz="4" w:space="0" w:color="000000"/>
              <w:left w:val="single" w:sz="4" w:space="0" w:color="000000"/>
              <w:bottom w:val="single" w:sz="4" w:space="0" w:color="000000"/>
            </w:tcBorders>
            <w:vAlign w:val="center"/>
          </w:tcPr>
          <w:p>
            <w:pPr>
              <w:pStyle w:val="Normal"/>
              <w:keepNext w:val="true"/>
              <w:widowControl w:val="false"/>
              <w:pBdr/>
              <w:ind w:hanging="2"/>
              <w:jc w:val="center"/>
              <w:rPr>
                <w:b/>
                <w:b/>
                <w:color w:val="000000"/>
                <w:sz w:val="22"/>
                <w:szCs w:val="22"/>
                <w:u w:val="single"/>
              </w:rPr>
            </w:pPr>
            <w:r>
              <w:rPr>
                <w:b/>
                <w:color w:val="000000"/>
                <w:sz w:val="22"/>
                <w:szCs w:val="22"/>
                <w:u w:val="single"/>
              </w:rPr>
              <w:t>Actividades concretas a realizar</w:t>
            </w:r>
          </w:p>
        </w:tc>
        <w:tc>
          <w:tcPr>
            <w:tcW w:w="2126" w:type="dxa"/>
            <w:tcBorders>
              <w:top w:val="single" w:sz="4" w:space="0" w:color="000000"/>
              <w:left w:val="single" w:sz="4" w:space="0" w:color="000000"/>
              <w:bottom w:val="single" w:sz="4" w:space="0" w:color="000000"/>
            </w:tcBorders>
            <w:vAlign w:val="center"/>
          </w:tcPr>
          <w:p>
            <w:pPr>
              <w:pStyle w:val="Normal"/>
              <w:keepNext w:val="true"/>
              <w:widowControl w:val="false"/>
              <w:pBdr/>
              <w:ind w:hanging="2"/>
              <w:jc w:val="center"/>
              <w:rPr>
                <w:b/>
                <w:b/>
                <w:color w:val="000000"/>
                <w:sz w:val="22"/>
                <w:szCs w:val="22"/>
                <w:u w:val="single"/>
              </w:rPr>
            </w:pPr>
            <w:r>
              <w:rPr>
                <w:b/>
                <w:color w:val="000000"/>
                <w:sz w:val="22"/>
                <w:szCs w:val="22"/>
                <w:u w:val="single"/>
              </w:rPr>
              <w:t>Objetivos</w:t>
            </w:r>
          </w:p>
          <w:p>
            <w:pPr>
              <w:pStyle w:val="Normal"/>
              <w:keepNext w:val="true"/>
              <w:widowControl w:val="false"/>
              <w:pBdr/>
              <w:ind w:hanging="2"/>
              <w:jc w:val="center"/>
              <w:rPr>
                <w:b/>
                <w:b/>
                <w:color w:val="000000"/>
                <w:sz w:val="22"/>
                <w:szCs w:val="22"/>
                <w:u w:val="single"/>
              </w:rPr>
            </w:pPr>
            <w:r>
              <w:rPr>
                <w:b/>
                <w:color w:val="000000"/>
                <w:sz w:val="22"/>
                <w:szCs w:val="22"/>
                <w:u w:val="single"/>
              </w:rPr>
              <w:t>Generales</w:t>
            </w:r>
          </w:p>
          <w:p>
            <w:pPr>
              <w:pStyle w:val="Normal"/>
              <w:keepNext w:val="true"/>
              <w:widowControl w:val="false"/>
              <w:pBdr/>
              <w:ind w:hanging="2"/>
              <w:jc w:val="center"/>
              <w:rPr>
                <w:b/>
                <w:b/>
                <w:color w:val="000000"/>
                <w:sz w:val="22"/>
                <w:szCs w:val="22"/>
                <w:u w:val="single"/>
              </w:rPr>
            </w:pPr>
            <w:r>
              <w:rPr>
                <w:b/>
                <w:color w:val="000000"/>
                <w:sz w:val="22"/>
                <w:szCs w:val="22"/>
                <w:u w:val="single"/>
              </w:rPr>
              <w:t>Trabajados</w:t>
            </w:r>
          </w:p>
        </w:tc>
        <w:tc>
          <w:tcPr>
            <w:tcW w:w="2274" w:type="dxa"/>
            <w:tcBorders>
              <w:top w:val="single" w:sz="4" w:space="0" w:color="000000"/>
              <w:left w:val="single" w:sz="4" w:space="0" w:color="000000"/>
              <w:bottom w:val="single" w:sz="4" w:space="0" w:color="000000"/>
              <w:right w:val="single" w:sz="4" w:space="0" w:color="000000"/>
            </w:tcBorders>
            <w:vAlign w:val="center"/>
          </w:tcPr>
          <w:p>
            <w:pPr>
              <w:pStyle w:val="Normal"/>
              <w:keepNext w:val="true"/>
              <w:widowControl w:val="false"/>
              <w:pBdr/>
              <w:ind w:hanging="2"/>
              <w:jc w:val="center"/>
              <w:rPr>
                <w:b/>
                <w:b/>
                <w:color w:val="000000"/>
                <w:sz w:val="22"/>
                <w:szCs w:val="22"/>
                <w:u w:val="single"/>
              </w:rPr>
            </w:pPr>
            <w:r>
              <w:rPr>
                <w:b/>
                <w:color w:val="000000"/>
                <w:sz w:val="22"/>
                <w:szCs w:val="22"/>
                <w:u w:val="single"/>
              </w:rPr>
              <w:t>Competencias Asociadas</w:t>
            </w:r>
          </w:p>
        </w:tc>
      </w:tr>
      <w:tr>
        <w:trPr/>
        <w:tc>
          <w:tcPr>
            <w:tcW w:w="5924" w:type="dxa"/>
            <w:tcBorders>
              <w:top w:val="single" w:sz="4" w:space="0" w:color="000000"/>
              <w:left w:val="single" w:sz="4" w:space="0" w:color="000000"/>
              <w:bottom w:val="single" w:sz="4" w:space="0" w:color="000000"/>
            </w:tcBorders>
          </w:tcPr>
          <w:p>
            <w:pPr>
              <w:pStyle w:val="Normal"/>
              <w:widowControl w:val="false"/>
              <w:numPr>
                <w:ilvl w:val="0"/>
                <w:numId w:val="6"/>
              </w:numPr>
              <w:pBdr/>
              <w:ind w:left="0" w:hanging="2"/>
              <w:jc w:val="both"/>
              <w:rPr>
                <w:color w:val="000000"/>
                <w:sz w:val="22"/>
                <w:szCs w:val="22"/>
              </w:rPr>
            </w:pPr>
            <w:r>
              <w:rPr>
                <w:color w:val="000000"/>
                <w:sz w:val="22"/>
                <w:szCs w:val="22"/>
              </w:rPr>
              <w:t>Lectura conjunta del tema. Y explicación de contenido.</w:t>
            </w:r>
          </w:p>
          <w:p>
            <w:pPr>
              <w:pStyle w:val="Normal"/>
              <w:widowControl w:val="false"/>
              <w:numPr>
                <w:ilvl w:val="0"/>
                <w:numId w:val="6"/>
              </w:numPr>
              <w:pBdr/>
              <w:ind w:left="0" w:hanging="2"/>
              <w:jc w:val="both"/>
              <w:rPr>
                <w:color w:val="000000"/>
                <w:sz w:val="22"/>
                <w:szCs w:val="22"/>
              </w:rPr>
            </w:pPr>
            <w:r>
              <w:rPr>
                <w:color w:val="000000"/>
                <w:sz w:val="22"/>
                <w:szCs w:val="22"/>
              </w:rPr>
              <w:t>Resolución por parte del alumnado de una serie de ejercicios relacionados con el tema como: valorar la importancia de la protección al consumidor, identificar normativa en materia de consumo, identificar las fases de un proceso arbitral de consumo, etc.</w:t>
            </w:r>
          </w:p>
          <w:p>
            <w:pPr>
              <w:pStyle w:val="Normal"/>
              <w:widowControl w:val="false"/>
              <w:numPr>
                <w:ilvl w:val="0"/>
                <w:numId w:val="6"/>
              </w:numPr>
              <w:pBdr/>
              <w:ind w:left="0" w:hanging="2"/>
              <w:jc w:val="both"/>
              <w:rPr>
                <w:color w:val="000000"/>
                <w:sz w:val="22"/>
                <w:szCs w:val="22"/>
              </w:rPr>
            </w:pPr>
            <w:r>
              <w:rPr>
                <w:color w:val="000000"/>
                <w:sz w:val="22"/>
                <w:szCs w:val="22"/>
              </w:rPr>
              <w:t>Simulación relacionada con situaciones de quejas y reclamaciones de clientes.</w:t>
            </w:r>
          </w:p>
        </w:tc>
        <w:tc>
          <w:tcPr>
            <w:tcW w:w="2126" w:type="dxa"/>
            <w:tcBorders>
              <w:top w:val="single" w:sz="4" w:space="0" w:color="000000"/>
              <w:left w:val="single" w:sz="4" w:space="0" w:color="000000"/>
              <w:bottom w:val="single" w:sz="4" w:space="0" w:color="000000"/>
            </w:tcBorders>
          </w:tcPr>
          <w:p>
            <w:pPr>
              <w:pStyle w:val="Normal"/>
              <w:keepNext w:val="true"/>
              <w:widowControl w:val="false"/>
              <w:pBdr/>
              <w:ind w:hanging="2"/>
              <w:jc w:val="center"/>
              <w:rPr>
                <w:color w:val="000000"/>
                <w:sz w:val="22"/>
                <w:szCs w:val="22"/>
              </w:rPr>
            </w:pPr>
            <w:r>
              <w:rPr>
                <w:color w:val="000000"/>
                <w:sz w:val="22"/>
                <w:szCs w:val="22"/>
              </w:rPr>
            </w:r>
          </w:p>
          <w:p>
            <w:pPr>
              <w:pStyle w:val="Normal"/>
              <w:keepNext w:val="true"/>
              <w:widowControl w:val="false"/>
              <w:pBdr/>
              <w:ind w:hanging="2"/>
              <w:jc w:val="center"/>
              <w:rPr>
                <w:color w:val="000000"/>
                <w:sz w:val="22"/>
                <w:szCs w:val="22"/>
              </w:rPr>
            </w:pPr>
            <w:r>
              <w:rPr>
                <w:color w:val="000000"/>
                <w:sz w:val="22"/>
                <w:szCs w:val="22"/>
              </w:rPr>
            </w:r>
          </w:p>
          <w:p>
            <w:pPr>
              <w:pStyle w:val="Normal"/>
              <w:keepNext w:val="true"/>
              <w:widowControl w:val="false"/>
              <w:pBdr/>
              <w:ind w:hanging="2"/>
              <w:jc w:val="center"/>
              <w:rPr>
                <w:color w:val="000000"/>
                <w:sz w:val="22"/>
                <w:szCs w:val="22"/>
              </w:rPr>
            </w:pPr>
            <w:r>
              <w:rPr>
                <w:color w:val="000000"/>
                <w:sz w:val="22"/>
                <w:szCs w:val="22"/>
              </w:rPr>
              <w:t>N-S</w:t>
            </w:r>
          </w:p>
        </w:tc>
        <w:tc>
          <w:tcPr>
            <w:tcW w:w="2274"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pBdr/>
              <w:ind w:hanging="2"/>
              <w:jc w:val="center"/>
              <w:rPr>
                <w:color w:val="000000"/>
                <w:sz w:val="22"/>
                <w:szCs w:val="22"/>
              </w:rPr>
            </w:pPr>
            <w:r>
              <w:rPr>
                <w:color w:val="000000"/>
                <w:sz w:val="22"/>
                <w:szCs w:val="22"/>
              </w:rPr>
            </w:r>
          </w:p>
          <w:p>
            <w:pPr>
              <w:pStyle w:val="Normal"/>
              <w:keepNext w:val="true"/>
              <w:widowControl w:val="false"/>
              <w:pBdr/>
              <w:ind w:hanging="2"/>
              <w:jc w:val="center"/>
              <w:rPr>
                <w:color w:val="000000"/>
                <w:sz w:val="22"/>
                <w:szCs w:val="22"/>
              </w:rPr>
            </w:pPr>
            <w:r>
              <w:rPr>
                <w:color w:val="000000"/>
                <w:sz w:val="22"/>
                <w:szCs w:val="22"/>
              </w:rPr>
            </w:r>
          </w:p>
          <w:p>
            <w:pPr>
              <w:pStyle w:val="Normal"/>
              <w:keepNext w:val="true"/>
              <w:widowControl w:val="false"/>
              <w:pBdr/>
              <w:ind w:hanging="2"/>
              <w:jc w:val="center"/>
              <w:rPr>
                <w:color w:val="000000"/>
                <w:sz w:val="22"/>
                <w:szCs w:val="22"/>
              </w:rPr>
            </w:pPr>
            <w:r>
              <w:rPr>
                <w:color w:val="000000"/>
                <w:sz w:val="22"/>
                <w:szCs w:val="22"/>
              </w:rPr>
              <w:t>L</w:t>
            </w:r>
          </w:p>
        </w:tc>
      </w:tr>
    </w:tbl>
    <w:p>
      <w:pPr>
        <w:pStyle w:val="Normal"/>
        <w:pBdr/>
        <w:tabs>
          <w:tab w:val="clear" w:pos="720"/>
          <w:tab w:val="right" w:pos="560" w:leader="none"/>
          <w:tab w:val="left" w:pos="680" w:leader="none"/>
        </w:tabs>
        <w:ind w:hanging="2"/>
        <w:jc w:val="both"/>
        <w:rPr>
          <w:color w:val="000000"/>
        </w:rPr>
      </w:pPr>
      <w:r>
        <w:rPr>
          <w:color w:val="000000"/>
        </w:rPr>
      </w:r>
    </w:p>
    <w:tbl>
      <w:tblPr>
        <w:tblStyle w:val="afffffffa"/>
        <w:tblW w:w="10354" w:type="dxa"/>
        <w:jc w:val="left"/>
        <w:tblInd w:w="-355" w:type="dxa"/>
        <w:tblLayout w:type="fixed"/>
        <w:tblCellMar>
          <w:top w:w="0" w:type="dxa"/>
          <w:left w:w="108" w:type="dxa"/>
          <w:bottom w:w="0" w:type="dxa"/>
          <w:right w:w="108" w:type="dxa"/>
        </w:tblCellMar>
        <w:tblLook w:val="0000" w:noHBand="0" w:noVBand="0" w:firstColumn="0" w:lastRow="0" w:lastColumn="0" w:firstRow="0"/>
      </w:tblPr>
      <w:tblGrid>
        <w:gridCol w:w="6212"/>
        <w:gridCol w:w="1996"/>
        <w:gridCol w:w="2146"/>
      </w:tblGrid>
      <w:tr>
        <w:trPr/>
        <w:tc>
          <w:tcPr>
            <w:tcW w:w="10354" w:type="dxa"/>
            <w:gridSpan w:val="3"/>
            <w:tcBorders>
              <w:top w:val="single" w:sz="4" w:space="0" w:color="000000"/>
              <w:left w:val="single" w:sz="4" w:space="0" w:color="000000"/>
              <w:bottom w:val="single" w:sz="4" w:space="0" w:color="000000"/>
              <w:right w:val="single" w:sz="4" w:space="0" w:color="000000"/>
            </w:tcBorders>
            <w:shd w:color="auto" w:fill="B3B3B3" w:val="clear"/>
          </w:tcPr>
          <w:p>
            <w:pPr>
              <w:pStyle w:val="Normal"/>
              <w:keepNext w:val="true"/>
              <w:widowControl w:val="false"/>
              <w:pBdr/>
              <w:ind w:hanging="2"/>
              <w:jc w:val="center"/>
              <w:rPr>
                <w:b/>
                <w:b/>
                <w:color w:val="000000"/>
              </w:rPr>
            </w:pPr>
            <w:r>
              <w:rPr>
                <w:b/>
                <w:color w:val="000000"/>
              </w:rPr>
              <w:t>CRITERIOS DE:</w:t>
            </w:r>
          </w:p>
        </w:tc>
      </w:tr>
      <w:tr>
        <w:trPr/>
        <w:tc>
          <w:tcPr>
            <w:tcW w:w="6212" w:type="dxa"/>
            <w:tcBorders>
              <w:top w:val="single" w:sz="4" w:space="0" w:color="000000"/>
              <w:left w:val="single" w:sz="4" w:space="0" w:color="000000"/>
              <w:bottom w:val="single" w:sz="4" w:space="0" w:color="000000"/>
            </w:tcBorders>
            <w:shd w:color="auto" w:fill="D9D9D9" w:val="clear"/>
          </w:tcPr>
          <w:p>
            <w:pPr>
              <w:pStyle w:val="Normal"/>
              <w:widowControl w:val="false"/>
              <w:pBdr/>
              <w:ind w:hanging="2"/>
              <w:jc w:val="center"/>
              <w:rPr>
                <w:b/>
                <w:b/>
                <w:color w:val="000000"/>
              </w:rPr>
            </w:pPr>
            <w:r>
              <w:rPr>
                <w:b/>
                <w:color w:val="000000"/>
              </w:rPr>
              <w:t>EVALUACIÓN</w:t>
            </w:r>
          </w:p>
        </w:tc>
        <w:tc>
          <w:tcPr>
            <w:tcW w:w="1996" w:type="dxa"/>
            <w:tcBorders>
              <w:top w:val="single" w:sz="4" w:space="0" w:color="000000"/>
              <w:left w:val="single" w:sz="4" w:space="0" w:color="000000"/>
              <w:bottom w:val="single" w:sz="4" w:space="0" w:color="000000"/>
            </w:tcBorders>
            <w:shd w:color="auto" w:fill="D9D9D9" w:val="clear"/>
          </w:tcPr>
          <w:p>
            <w:pPr>
              <w:pStyle w:val="Normal"/>
              <w:widowControl w:val="false"/>
              <w:pBdr/>
              <w:ind w:hanging="2"/>
              <w:rPr>
                <w:b/>
                <w:b/>
                <w:color w:val="000000"/>
                <w:sz w:val="20"/>
                <w:szCs w:val="20"/>
              </w:rPr>
            </w:pPr>
            <w:r>
              <w:rPr>
                <w:b/>
                <w:color w:val="000000"/>
                <w:sz w:val="20"/>
                <w:szCs w:val="20"/>
              </w:rPr>
              <w:t>CALIFICACIÓN</w:t>
            </w:r>
          </w:p>
        </w:tc>
        <w:tc>
          <w:tcPr>
            <w:tcW w:w="2146" w:type="dxa"/>
            <w:tcBorders>
              <w:top w:val="single" w:sz="4" w:space="0" w:color="000000"/>
              <w:left w:val="single" w:sz="4" w:space="0" w:color="000000"/>
              <w:bottom w:val="single" w:sz="4" w:space="0" w:color="000000"/>
              <w:right w:val="single" w:sz="4" w:space="0" w:color="000000"/>
            </w:tcBorders>
            <w:shd w:color="auto" w:fill="D9D9D9" w:val="clear"/>
          </w:tcPr>
          <w:p>
            <w:pPr>
              <w:pStyle w:val="Normal"/>
              <w:widowControl w:val="false"/>
              <w:pBdr/>
              <w:ind w:hanging="2"/>
              <w:rPr>
                <w:b/>
                <w:b/>
                <w:color w:val="000000"/>
                <w:sz w:val="20"/>
                <w:szCs w:val="20"/>
              </w:rPr>
            </w:pPr>
            <w:r>
              <w:rPr>
                <w:b/>
                <w:color w:val="000000"/>
                <w:sz w:val="20"/>
                <w:szCs w:val="20"/>
              </w:rPr>
              <w:t>RECUPERACIÓN</w:t>
            </w:r>
          </w:p>
        </w:tc>
      </w:tr>
      <w:tr>
        <w:trPr>
          <w:trHeight w:val="709" w:hRule="atLeast"/>
        </w:trPr>
        <w:tc>
          <w:tcPr>
            <w:tcW w:w="6212" w:type="dxa"/>
            <w:tcBorders>
              <w:top w:val="single" w:sz="4" w:space="0" w:color="000000"/>
              <w:left w:val="single" w:sz="4" w:space="0" w:color="000000"/>
              <w:bottom w:val="single" w:sz="4" w:space="0" w:color="000000"/>
            </w:tcBorders>
          </w:tcPr>
          <w:p>
            <w:pPr>
              <w:pStyle w:val="Normal"/>
              <w:widowControl w:val="false"/>
              <w:numPr>
                <w:ilvl w:val="0"/>
                <w:numId w:val="16"/>
              </w:numPr>
              <w:pBdr/>
              <w:ind w:left="0" w:hanging="2"/>
              <w:jc w:val="both"/>
              <w:rPr>
                <w:color w:val="000000"/>
                <w:sz w:val="22"/>
                <w:szCs w:val="22"/>
              </w:rPr>
            </w:pPr>
            <w:r>
              <w:rPr>
                <w:color w:val="000000"/>
                <w:sz w:val="22"/>
                <w:szCs w:val="22"/>
              </w:rPr>
              <w:t>A) Se han descrito las funciones del departamento de atención al cliente en empresas.</w:t>
            </w:r>
          </w:p>
          <w:p>
            <w:pPr>
              <w:pStyle w:val="Normal"/>
              <w:widowControl w:val="false"/>
              <w:numPr>
                <w:ilvl w:val="0"/>
                <w:numId w:val="16"/>
              </w:numPr>
              <w:pBdr/>
              <w:ind w:left="0" w:hanging="2"/>
              <w:jc w:val="both"/>
              <w:rPr>
                <w:color w:val="000000"/>
                <w:sz w:val="22"/>
                <w:szCs w:val="22"/>
              </w:rPr>
            </w:pPr>
            <w:r>
              <w:rPr>
                <w:color w:val="000000"/>
                <w:sz w:val="22"/>
                <w:szCs w:val="22"/>
              </w:rPr>
              <w:t>B) Se ha valorado la importancia de una actitud proactiva para anticiparse a incidencias en los procesos.</w:t>
            </w:r>
          </w:p>
          <w:p>
            <w:pPr>
              <w:pStyle w:val="Normal"/>
              <w:widowControl w:val="false"/>
              <w:numPr>
                <w:ilvl w:val="0"/>
                <w:numId w:val="16"/>
              </w:numPr>
              <w:pBdr/>
              <w:ind w:left="0" w:hanging="2"/>
              <w:jc w:val="both"/>
              <w:rPr>
                <w:color w:val="000000"/>
                <w:sz w:val="22"/>
                <w:szCs w:val="22"/>
              </w:rPr>
            </w:pPr>
            <w:r>
              <w:rPr>
                <w:color w:val="000000"/>
                <w:sz w:val="22"/>
                <w:szCs w:val="22"/>
              </w:rPr>
              <w:t>C) Se ha interpretado la comunicación recibida por parte del cliente.</w:t>
            </w:r>
          </w:p>
          <w:p>
            <w:pPr>
              <w:pStyle w:val="Normal"/>
              <w:widowControl w:val="false"/>
              <w:numPr>
                <w:ilvl w:val="0"/>
                <w:numId w:val="16"/>
              </w:numPr>
              <w:pBdr/>
              <w:ind w:left="0" w:hanging="2"/>
              <w:jc w:val="both"/>
              <w:rPr>
                <w:color w:val="000000"/>
                <w:sz w:val="22"/>
                <w:szCs w:val="22"/>
              </w:rPr>
            </w:pPr>
            <w:r>
              <w:rPr>
                <w:color w:val="000000"/>
                <w:sz w:val="22"/>
                <w:szCs w:val="22"/>
              </w:rPr>
              <w:t>D)Se han relacionado los elementos de la queja/reclamación con las fases que componen el plan interno de resolución de quejas/reclamaciones.</w:t>
            </w:r>
          </w:p>
          <w:p>
            <w:pPr>
              <w:pStyle w:val="Normal"/>
              <w:widowControl w:val="false"/>
              <w:numPr>
                <w:ilvl w:val="0"/>
                <w:numId w:val="16"/>
              </w:numPr>
              <w:pBdr/>
              <w:ind w:left="0" w:hanging="2"/>
              <w:jc w:val="both"/>
              <w:rPr>
                <w:color w:val="000000"/>
                <w:sz w:val="22"/>
                <w:szCs w:val="22"/>
              </w:rPr>
            </w:pPr>
            <w:r>
              <w:rPr>
                <w:color w:val="000000"/>
                <w:sz w:val="22"/>
                <w:szCs w:val="22"/>
              </w:rPr>
              <w:t>E) Se han diferenciado los tipos de demanda o reclamación.</w:t>
            </w:r>
          </w:p>
          <w:p>
            <w:pPr>
              <w:pStyle w:val="Normal"/>
              <w:widowControl w:val="false"/>
              <w:numPr>
                <w:ilvl w:val="0"/>
                <w:numId w:val="16"/>
              </w:numPr>
              <w:pBdr/>
              <w:ind w:left="0" w:hanging="2"/>
              <w:jc w:val="both"/>
              <w:rPr>
                <w:color w:val="000000"/>
                <w:sz w:val="22"/>
                <w:szCs w:val="22"/>
              </w:rPr>
            </w:pPr>
            <w:r>
              <w:rPr>
                <w:color w:val="000000"/>
                <w:sz w:val="22"/>
                <w:szCs w:val="22"/>
              </w:rPr>
              <w:t>F) Se ha gestionado la información que hay que suministrar al cliente.</w:t>
            </w:r>
          </w:p>
          <w:p>
            <w:pPr>
              <w:pStyle w:val="Normal"/>
              <w:widowControl w:val="false"/>
              <w:numPr>
                <w:ilvl w:val="0"/>
                <w:numId w:val="16"/>
              </w:numPr>
              <w:pBdr/>
              <w:ind w:left="0" w:hanging="2"/>
              <w:jc w:val="both"/>
              <w:rPr>
                <w:color w:val="000000"/>
                <w:sz w:val="22"/>
                <w:szCs w:val="22"/>
              </w:rPr>
            </w:pPr>
            <w:r>
              <w:rPr>
                <w:color w:val="000000"/>
                <w:sz w:val="22"/>
                <w:szCs w:val="22"/>
              </w:rPr>
              <w:t>G) Se han determinado los documentos propios de la gestión de consultas, quejas y reclamaciones.</w:t>
            </w:r>
          </w:p>
          <w:p>
            <w:pPr>
              <w:pStyle w:val="Normal"/>
              <w:widowControl w:val="false"/>
              <w:numPr>
                <w:ilvl w:val="0"/>
                <w:numId w:val="16"/>
              </w:numPr>
              <w:pBdr/>
              <w:ind w:left="0" w:hanging="2"/>
              <w:jc w:val="both"/>
              <w:rPr>
                <w:color w:val="000000"/>
                <w:sz w:val="22"/>
                <w:szCs w:val="22"/>
              </w:rPr>
            </w:pPr>
            <w:r>
              <w:rPr>
                <w:color w:val="000000"/>
                <w:sz w:val="22"/>
                <w:szCs w:val="22"/>
              </w:rPr>
              <w:t>H) Se han redactado escritos de respuesta, utilizando medios electrónicos u otros canales de comunicación.</w:t>
            </w:r>
          </w:p>
          <w:p>
            <w:pPr>
              <w:pStyle w:val="Normal"/>
              <w:widowControl w:val="false"/>
              <w:numPr>
                <w:ilvl w:val="0"/>
                <w:numId w:val="16"/>
              </w:numPr>
              <w:pBdr/>
              <w:ind w:left="0" w:hanging="2"/>
              <w:jc w:val="both"/>
              <w:rPr>
                <w:color w:val="000000"/>
                <w:sz w:val="22"/>
                <w:szCs w:val="22"/>
              </w:rPr>
            </w:pPr>
            <w:r>
              <w:rPr>
                <w:color w:val="000000"/>
                <w:sz w:val="22"/>
                <w:szCs w:val="22"/>
              </w:rPr>
              <w:t>I) Se ha valorado la importancia de la protección del consumidor.</w:t>
            </w:r>
          </w:p>
          <w:p>
            <w:pPr>
              <w:pStyle w:val="Normal"/>
              <w:widowControl w:val="false"/>
              <w:numPr>
                <w:ilvl w:val="0"/>
                <w:numId w:val="16"/>
              </w:numPr>
              <w:ind w:left="0" w:hanging="2"/>
              <w:jc w:val="both"/>
              <w:rPr/>
            </w:pPr>
            <w:r>
              <w:rPr>
                <w:color w:val="000000"/>
                <w:sz w:val="22"/>
                <w:szCs w:val="22"/>
              </w:rPr>
              <w:t>J) Se ha aplicado la normativa en materia de consumo.</w:t>
            </w:r>
          </w:p>
        </w:tc>
        <w:tc>
          <w:tcPr>
            <w:tcW w:w="1996" w:type="dxa"/>
            <w:tcBorders>
              <w:top w:val="single" w:sz="4" w:space="0" w:color="000000"/>
              <w:left w:val="single" w:sz="4" w:space="0" w:color="000000"/>
              <w:bottom w:val="single" w:sz="4" w:space="0" w:color="000000"/>
            </w:tcBorders>
          </w:tcPr>
          <w:p>
            <w:pPr>
              <w:pStyle w:val="Normal"/>
              <w:widowControl w:val="false"/>
              <w:ind w:hanging="2"/>
              <w:rPr>
                <w:sz w:val="22"/>
                <w:szCs w:val="22"/>
              </w:rPr>
            </w:pPr>
            <w:r>
              <w:rPr>
                <w:sz w:val="22"/>
                <w:szCs w:val="22"/>
              </w:rPr>
              <w:t>Los que se han detallado al inicio de esta programación.</w:t>
            </w:r>
          </w:p>
        </w:tc>
        <w:tc>
          <w:tcPr>
            <w:tcW w:w="2146" w:type="dxa"/>
            <w:tcBorders>
              <w:top w:val="single" w:sz="4" w:space="0" w:color="000000"/>
              <w:left w:val="single" w:sz="4" w:space="0" w:color="000000"/>
              <w:bottom w:val="single" w:sz="4" w:space="0" w:color="000000"/>
              <w:right w:val="single" w:sz="4" w:space="0" w:color="000000"/>
            </w:tcBorders>
          </w:tcPr>
          <w:p>
            <w:pPr>
              <w:pStyle w:val="Normal"/>
              <w:widowControl w:val="false"/>
              <w:ind w:hanging="2"/>
              <w:rPr>
                <w:sz w:val="22"/>
                <w:szCs w:val="22"/>
              </w:rPr>
            </w:pPr>
            <w:r>
              <w:rPr>
                <w:sz w:val="22"/>
                <w:szCs w:val="22"/>
              </w:rPr>
              <w:t>Los que se han detallado al inicio de esta programación.</w:t>
            </w:r>
          </w:p>
        </w:tc>
      </w:tr>
    </w:tbl>
    <w:p>
      <w:pPr>
        <w:pStyle w:val="Normal"/>
        <w:ind w:hanging="2"/>
        <w:rPr/>
      </w:pPr>
      <w:r>
        <w:rPr/>
      </w:r>
    </w:p>
    <w:tbl>
      <w:tblPr>
        <w:tblStyle w:val="afffffffb"/>
        <w:tblW w:w="10354" w:type="dxa"/>
        <w:jc w:val="left"/>
        <w:tblInd w:w="-355" w:type="dxa"/>
        <w:tblLayout w:type="fixed"/>
        <w:tblCellMar>
          <w:top w:w="0" w:type="dxa"/>
          <w:left w:w="108" w:type="dxa"/>
          <w:bottom w:w="0" w:type="dxa"/>
          <w:right w:w="108" w:type="dxa"/>
        </w:tblCellMar>
        <w:tblLook w:val="0000" w:noHBand="0" w:noVBand="0" w:firstColumn="0" w:lastRow="0" w:lastColumn="0" w:firstRow="0"/>
      </w:tblPr>
      <w:tblGrid>
        <w:gridCol w:w="1917"/>
        <w:gridCol w:w="6291"/>
        <w:gridCol w:w="2146"/>
      </w:tblGrid>
      <w:tr>
        <w:trPr/>
        <w:tc>
          <w:tcPr>
            <w:tcW w:w="1917" w:type="dxa"/>
            <w:tcBorders>
              <w:top w:val="single" w:sz="4" w:space="0" w:color="000000"/>
              <w:left w:val="single" w:sz="4" w:space="0" w:color="000000"/>
              <w:bottom w:val="single" w:sz="4" w:space="0" w:color="000000"/>
            </w:tcBorders>
            <w:shd w:color="auto" w:fill="D9D9D9" w:val="clear"/>
            <w:vAlign w:val="center"/>
          </w:tcPr>
          <w:p>
            <w:pPr>
              <w:pStyle w:val="Normal"/>
              <w:keepNext w:val="true"/>
              <w:widowControl w:val="false"/>
              <w:pBdr/>
              <w:ind w:hanging="2"/>
              <w:jc w:val="center"/>
              <w:rPr>
                <w:b/>
                <w:b/>
                <w:color w:val="000000"/>
              </w:rPr>
            </w:pPr>
            <w:r>
              <w:rPr>
                <w:b/>
                <w:color w:val="000000"/>
              </w:rPr>
              <w:t>UD 6</w:t>
            </w:r>
          </w:p>
        </w:tc>
        <w:tc>
          <w:tcPr>
            <w:tcW w:w="6291" w:type="dxa"/>
            <w:tcBorders>
              <w:top w:val="single" w:sz="4" w:space="0" w:color="000000"/>
              <w:left w:val="single" w:sz="4" w:space="0" w:color="000000"/>
              <w:bottom w:val="single" w:sz="4" w:space="0" w:color="000000"/>
            </w:tcBorders>
            <w:shd w:color="auto" w:fill="D9D9D9" w:val="clear"/>
          </w:tcPr>
          <w:p>
            <w:pPr>
              <w:pStyle w:val="Normal"/>
              <w:widowControl w:val="false"/>
              <w:ind w:hanging="2"/>
              <w:jc w:val="center"/>
              <w:rPr/>
            </w:pPr>
            <w:r>
              <w:rPr/>
            </w:r>
          </w:p>
          <w:p>
            <w:pPr>
              <w:pStyle w:val="Normal"/>
              <w:widowControl w:val="false"/>
              <w:ind w:hanging="2"/>
              <w:jc w:val="center"/>
              <w:rPr/>
            </w:pPr>
            <w:r>
              <w:rPr>
                <w:b/>
              </w:rPr>
              <w:t>SERVICIO POSVENTA</w:t>
            </w:r>
          </w:p>
        </w:tc>
        <w:tc>
          <w:tcPr>
            <w:tcW w:w="2146" w:type="dxa"/>
            <w:tcBorders>
              <w:top w:val="single" w:sz="4" w:space="0" w:color="000000"/>
              <w:left w:val="single" w:sz="4" w:space="0" w:color="000000"/>
              <w:bottom w:val="single" w:sz="4" w:space="0" w:color="000000"/>
              <w:right w:val="single" w:sz="4" w:space="0" w:color="000000"/>
            </w:tcBorders>
            <w:shd w:color="auto" w:fill="D9D9D9" w:val="clear"/>
          </w:tcPr>
          <w:p>
            <w:pPr>
              <w:pStyle w:val="Normal"/>
              <w:keepNext w:val="true"/>
              <w:widowControl w:val="false"/>
              <w:pBdr/>
              <w:ind w:hanging="2"/>
              <w:jc w:val="both"/>
              <w:rPr>
                <w:b/>
                <w:b/>
                <w:color w:val="000000"/>
                <w:u w:val="single"/>
              </w:rPr>
            </w:pPr>
            <w:r>
              <w:rPr>
                <w:b/>
                <w:color w:val="000000"/>
              </w:rPr>
              <w:t>Nº de horas previstas</w:t>
            </w:r>
          </w:p>
          <w:p>
            <w:pPr>
              <w:pStyle w:val="Normal"/>
              <w:widowControl w:val="false"/>
              <w:ind w:hanging="2"/>
              <w:jc w:val="center"/>
              <w:rPr/>
            </w:pPr>
            <w:r>
              <w:rPr/>
            </w:r>
          </w:p>
          <w:p>
            <w:pPr>
              <w:pStyle w:val="Normal"/>
              <w:widowControl w:val="false"/>
              <w:ind w:hanging="2"/>
              <w:jc w:val="center"/>
              <w:rPr/>
            </w:pPr>
            <w:r>
              <w:rPr>
                <w:b/>
              </w:rPr>
              <w:t>13/15</w:t>
            </w:r>
          </w:p>
        </w:tc>
      </w:tr>
    </w:tbl>
    <w:p>
      <w:pPr>
        <w:pStyle w:val="Normal"/>
        <w:ind w:hanging="2"/>
        <w:rPr/>
      </w:pPr>
      <w:r>
        <w:rPr/>
      </w:r>
    </w:p>
    <w:tbl>
      <w:tblPr>
        <w:tblStyle w:val="afffffffc"/>
        <w:tblW w:w="9900" w:type="dxa"/>
        <w:jc w:val="left"/>
        <w:tblInd w:w="-396" w:type="dxa"/>
        <w:tblLayout w:type="fixed"/>
        <w:tblCellMar>
          <w:top w:w="0" w:type="dxa"/>
          <w:left w:w="108" w:type="dxa"/>
          <w:bottom w:w="0" w:type="dxa"/>
          <w:right w:w="108" w:type="dxa"/>
        </w:tblCellMar>
        <w:tblLook w:val="0000" w:noHBand="0" w:noVBand="0" w:firstColumn="0" w:lastRow="0" w:lastColumn="0" w:firstRow="0"/>
      </w:tblPr>
      <w:tblGrid>
        <w:gridCol w:w="9900"/>
      </w:tblGrid>
      <w:tr>
        <w:trPr>
          <w:trHeight w:val="3576" w:hRule="atLeast"/>
        </w:trPr>
        <w:tc>
          <w:tcPr>
            <w:tcW w:w="9900"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pBdr/>
              <w:ind w:hanging="2"/>
              <w:jc w:val="both"/>
              <w:rPr>
                <w:color w:val="000000"/>
              </w:rPr>
            </w:pPr>
            <w:r>
              <w:rPr>
                <w:b/>
                <w:color w:val="000000"/>
                <w:u w:val="single"/>
              </w:rPr>
              <w:t>Contenidos</w:t>
            </w:r>
            <w:r>
              <w:rPr>
                <w:b/>
                <w:color w:val="000000"/>
              </w:rPr>
              <w:t>:</w:t>
            </w:r>
          </w:p>
          <w:p>
            <w:pPr>
              <w:pStyle w:val="Normal"/>
              <w:widowControl w:val="false"/>
              <w:ind w:hanging="2"/>
              <w:rPr/>
            </w:pPr>
            <w:r>
              <w:rPr/>
            </w:r>
          </w:p>
          <w:p>
            <w:pPr>
              <w:pStyle w:val="Normal"/>
              <w:widowControl w:val="false"/>
              <w:numPr>
                <w:ilvl w:val="0"/>
                <w:numId w:val="4"/>
              </w:numPr>
              <w:ind w:left="0" w:hanging="2"/>
              <w:jc w:val="both"/>
              <w:rPr/>
            </w:pPr>
            <w:r>
              <w:rPr/>
              <w:t>Proceso del servicio posventa y su relación con otros procesos.</w:t>
            </w:r>
          </w:p>
          <w:p>
            <w:pPr>
              <w:pStyle w:val="Normal"/>
              <w:widowControl w:val="false"/>
              <w:numPr>
                <w:ilvl w:val="1"/>
                <w:numId w:val="4"/>
              </w:numPr>
              <w:ind w:left="0" w:hanging="2"/>
              <w:jc w:val="both"/>
              <w:rPr/>
            </w:pPr>
            <w:r>
              <w:rPr/>
              <w:t>Información de entrada.</w:t>
            </w:r>
          </w:p>
          <w:p>
            <w:pPr>
              <w:pStyle w:val="Normal"/>
              <w:widowControl w:val="false"/>
              <w:numPr>
                <w:ilvl w:val="1"/>
                <w:numId w:val="4"/>
              </w:numPr>
              <w:ind w:left="0" w:hanging="2"/>
              <w:jc w:val="both"/>
              <w:rPr/>
            </w:pPr>
            <w:r>
              <w:rPr/>
              <w:t>Información de salida.</w:t>
            </w:r>
          </w:p>
          <w:p>
            <w:pPr>
              <w:pStyle w:val="Normal"/>
              <w:widowControl w:val="false"/>
              <w:numPr>
                <w:ilvl w:val="0"/>
                <w:numId w:val="4"/>
              </w:numPr>
              <w:ind w:left="0" w:hanging="2"/>
              <w:jc w:val="both"/>
              <w:rPr/>
            </w:pPr>
            <w:r>
              <w:rPr/>
              <w:t>Actividades posteriores a la venta.</w:t>
            </w:r>
          </w:p>
          <w:p>
            <w:pPr>
              <w:pStyle w:val="Normal"/>
              <w:widowControl w:val="false"/>
              <w:numPr>
                <w:ilvl w:val="0"/>
                <w:numId w:val="4"/>
              </w:numPr>
              <w:ind w:left="0" w:hanging="2"/>
              <w:jc w:val="both"/>
              <w:rPr/>
            </w:pPr>
            <w:r>
              <w:rPr/>
              <w:t>Gestión de la calidad en el servicio posventa.</w:t>
            </w:r>
          </w:p>
          <w:p>
            <w:pPr>
              <w:pStyle w:val="Normal"/>
              <w:widowControl w:val="false"/>
              <w:numPr>
                <w:ilvl w:val="1"/>
                <w:numId w:val="4"/>
              </w:numPr>
              <w:ind w:left="0" w:hanging="2"/>
              <w:jc w:val="both"/>
              <w:rPr/>
            </w:pPr>
            <w:r>
              <w:rPr/>
              <w:t>Fases para la gestión de la calidad en el servicio posventa.</w:t>
            </w:r>
          </w:p>
          <w:p>
            <w:pPr>
              <w:pStyle w:val="Normal"/>
              <w:widowControl w:val="false"/>
              <w:numPr>
                <w:ilvl w:val="1"/>
                <w:numId w:val="4"/>
              </w:numPr>
              <w:ind w:left="0" w:hanging="2"/>
              <w:jc w:val="both"/>
              <w:rPr/>
            </w:pPr>
            <w:r>
              <w:rPr/>
              <w:t>La valoración de un producto o servicio para el cliente. Percepción de calidad.</w:t>
            </w:r>
          </w:p>
          <w:p>
            <w:pPr>
              <w:pStyle w:val="Normal"/>
              <w:widowControl w:val="false"/>
              <w:numPr>
                <w:ilvl w:val="0"/>
                <w:numId w:val="4"/>
              </w:numPr>
              <w:ind w:left="0" w:hanging="2"/>
              <w:jc w:val="both"/>
              <w:rPr/>
            </w:pPr>
            <w:r>
              <w:rPr/>
              <w:t>Los Técnicas y herramientas para la gestión de la calidad.</w:t>
            </w:r>
          </w:p>
          <w:p>
            <w:pPr>
              <w:pStyle w:val="Normal"/>
              <w:widowControl w:val="false"/>
              <w:ind w:hanging="2"/>
              <w:rPr/>
            </w:pPr>
            <w:r>
              <w:rPr/>
            </w:r>
          </w:p>
        </w:tc>
      </w:tr>
    </w:tbl>
    <w:p>
      <w:pPr>
        <w:pStyle w:val="Normal"/>
        <w:ind w:hanging="2"/>
        <w:rPr/>
      </w:pPr>
      <w:r>
        <w:rPr/>
      </w:r>
    </w:p>
    <w:p>
      <w:pPr>
        <w:pStyle w:val="Normal"/>
        <w:ind w:hanging="2"/>
        <w:rPr/>
      </w:pPr>
      <w:r>
        <w:rPr/>
      </w:r>
    </w:p>
    <w:tbl>
      <w:tblPr>
        <w:tblStyle w:val="afffffffd"/>
        <w:tblW w:w="10324" w:type="dxa"/>
        <w:jc w:val="left"/>
        <w:tblInd w:w="-355" w:type="dxa"/>
        <w:tblLayout w:type="fixed"/>
        <w:tblCellMar>
          <w:top w:w="0" w:type="dxa"/>
          <w:left w:w="108" w:type="dxa"/>
          <w:bottom w:w="0" w:type="dxa"/>
          <w:right w:w="108" w:type="dxa"/>
        </w:tblCellMar>
        <w:tblLook w:val="0000" w:noHBand="0" w:noVBand="0" w:firstColumn="0" w:lastRow="0" w:lastColumn="0" w:firstRow="0"/>
      </w:tblPr>
      <w:tblGrid>
        <w:gridCol w:w="6486"/>
        <w:gridCol w:w="1913"/>
        <w:gridCol w:w="1925"/>
      </w:tblGrid>
      <w:tr>
        <w:trPr/>
        <w:tc>
          <w:tcPr>
            <w:tcW w:w="6486" w:type="dxa"/>
            <w:tcBorders>
              <w:top w:val="single" w:sz="4" w:space="0" w:color="000000"/>
              <w:left w:val="single" w:sz="4" w:space="0" w:color="000000"/>
              <w:bottom w:val="single" w:sz="4" w:space="0" w:color="000000"/>
            </w:tcBorders>
            <w:vAlign w:val="center"/>
          </w:tcPr>
          <w:p>
            <w:pPr>
              <w:pStyle w:val="Normal"/>
              <w:keepNext w:val="true"/>
              <w:widowControl w:val="false"/>
              <w:pBdr/>
              <w:ind w:hanging="2"/>
              <w:jc w:val="center"/>
              <w:rPr>
                <w:b/>
                <w:b/>
                <w:color w:val="000000"/>
                <w:sz w:val="22"/>
                <w:szCs w:val="22"/>
                <w:u w:val="single"/>
              </w:rPr>
            </w:pPr>
            <w:r>
              <w:rPr>
                <w:b/>
                <w:color w:val="000000"/>
                <w:sz w:val="22"/>
                <w:szCs w:val="22"/>
                <w:u w:val="single"/>
              </w:rPr>
              <w:t>Actividades concretas a realizar</w:t>
            </w:r>
          </w:p>
        </w:tc>
        <w:tc>
          <w:tcPr>
            <w:tcW w:w="1913" w:type="dxa"/>
            <w:tcBorders>
              <w:top w:val="single" w:sz="4" w:space="0" w:color="000000"/>
              <w:left w:val="single" w:sz="4" w:space="0" w:color="000000"/>
              <w:bottom w:val="single" w:sz="4" w:space="0" w:color="000000"/>
            </w:tcBorders>
            <w:vAlign w:val="center"/>
          </w:tcPr>
          <w:p>
            <w:pPr>
              <w:pStyle w:val="Normal"/>
              <w:keepNext w:val="true"/>
              <w:widowControl w:val="false"/>
              <w:pBdr/>
              <w:ind w:hanging="2"/>
              <w:jc w:val="center"/>
              <w:rPr>
                <w:b/>
                <w:b/>
                <w:color w:val="000000"/>
                <w:sz w:val="22"/>
                <w:szCs w:val="22"/>
                <w:u w:val="single"/>
              </w:rPr>
            </w:pPr>
            <w:r>
              <w:rPr>
                <w:b/>
                <w:color w:val="000000"/>
                <w:sz w:val="22"/>
                <w:szCs w:val="22"/>
                <w:u w:val="single"/>
              </w:rPr>
              <w:t>Objetivos</w:t>
            </w:r>
          </w:p>
          <w:p>
            <w:pPr>
              <w:pStyle w:val="Normal"/>
              <w:keepNext w:val="true"/>
              <w:widowControl w:val="false"/>
              <w:pBdr/>
              <w:ind w:hanging="2"/>
              <w:jc w:val="center"/>
              <w:rPr>
                <w:b/>
                <w:b/>
                <w:color w:val="000000"/>
                <w:sz w:val="22"/>
                <w:szCs w:val="22"/>
                <w:u w:val="single"/>
              </w:rPr>
            </w:pPr>
            <w:r>
              <w:rPr>
                <w:b/>
                <w:color w:val="000000"/>
                <w:sz w:val="22"/>
                <w:szCs w:val="22"/>
                <w:u w:val="single"/>
              </w:rPr>
              <w:t>Generales</w:t>
            </w:r>
          </w:p>
          <w:p>
            <w:pPr>
              <w:pStyle w:val="Normal"/>
              <w:keepNext w:val="true"/>
              <w:widowControl w:val="false"/>
              <w:pBdr/>
              <w:ind w:hanging="2"/>
              <w:jc w:val="center"/>
              <w:rPr>
                <w:b/>
                <w:b/>
                <w:color w:val="000000"/>
                <w:sz w:val="22"/>
                <w:szCs w:val="22"/>
                <w:u w:val="single"/>
              </w:rPr>
            </w:pPr>
            <w:r>
              <w:rPr>
                <w:b/>
                <w:color w:val="000000"/>
                <w:sz w:val="22"/>
                <w:szCs w:val="22"/>
                <w:u w:val="single"/>
              </w:rPr>
              <w:t>Trabajados</w:t>
            </w:r>
          </w:p>
        </w:tc>
        <w:tc>
          <w:tcPr>
            <w:tcW w:w="1925" w:type="dxa"/>
            <w:tcBorders>
              <w:top w:val="single" w:sz="4" w:space="0" w:color="000000"/>
              <w:left w:val="single" w:sz="4" w:space="0" w:color="000000"/>
              <w:bottom w:val="single" w:sz="4" w:space="0" w:color="000000"/>
              <w:right w:val="single" w:sz="4" w:space="0" w:color="000000"/>
            </w:tcBorders>
            <w:vAlign w:val="center"/>
          </w:tcPr>
          <w:p>
            <w:pPr>
              <w:pStyle w:val="Normal"/>
              <w:keepNext w:val="true"/>
              <w:widowControl w:val="false"/>
              <w:pBdr/>
              <w:ind w:hanging="2"/>
              <w:jc w:val="center"/>
              <w:rPr>
                <w:b/>
                <w:b/>
                <w:color w:val="000000"/>
                <w:sz w:val="22"/>
                <w:szCs w:val="22"/>
                <w:u w:val="single"/>
              </w:rPr>
            </w:pPr>
            <w:r>
              <w:rPr>
                <w:b/>
                <w:color w:val="000000"/>
                <w:sz w:val="22"/>
                <w:szCs w:val="22"/>
                <w:u w:val="single"/>
              </w:rPr>
              <w:t>Competencias Asociadas</w:t>
            </w:r>
          </w:p>
        </w:tc>
      </w:tr>
      <w:tr>
        <w:trPr/>
        <w:tc>
          <w:tcPr>
            <w:tcW w:w="6486" w:type="dxa"/>
            <w:tcBorders>
              <w:top w:val="single" w:sz="4" w:space="0" w:color="000000"/>
              <w:left w:val="single" w:sz="4" w:space="0" w:color="000000"/>
              <w:bottom w:val="single" w:sz="4" w:space="0" w:color="000000"/>
            </w:tcBorders>
          </w:tcPr>
          <w:p>
            <w:pPr>
              <w:pStyle w:val="Normal"/>
              <w:widowControl w:val="false"/>
              <w:numPr>
                <w:ilvl w:val="0"/>
                <w:numId w:val="6"/>
              </w:numPr>
              <w:pBdr/>
              <w:ind w:left="0" w:hanging="2"/>
              <w:jc w:val="both"/>
              <w:rPr>
                <w:color w:val="000000"/>
                <w:sz w:val="22"/>
                <w:szCs w:val="22"/>
              </w:rPr>
            </w:pPr>
            <w:r>
              <w:rPr>
                <w:color w:val="000000"/>
                <w:sz w:val="22"/>
                <w:szCs w:val="22"/>
              </w:rPr>
              <w:t>Lectura conjunta del tema. Y explicación de contenido.</w:t>
            </w:r>
          </w:p>
          <w:p>
            <w:pPr>
              <w:pStyle w:val="Normal"/>
              <w:widowControl w:val="false"/>
              <w:numPr>
                <w:ilvl w:val="0"/>
                <w:numId w:val="6"/>
              </w:numPr>
              <w:pBdr/>
              <w:ind w:left="0" w:hanging="2"/>
              <w:jc w:val="both"/>
              <w:rPr>
                <w:color w:val="000000"/>
                <w:sz w:val="22"/>
                <w:szCs w:val="22"/>
              </w:rPr>
            </w:pPr>
            <w:r>
              <w:rPr>
                <w:color w:val="000000"/>
                <w:sz w:val="22"/>
                <w:szCs w:val="22"/>
              </w:rPr>
              <w:t>Resolución por parte del alumnado de una serie de ejercicios relacionados con el tema como: determinar las fases que componen el proceso posventa y las situaciones comerciales que precisa este servicio, Analizar las herramientas más habituales en el desarrollo del servicio posventa, etc.</w:t>
            </w:r>
          </w:p>
          <w:p>
            <w:pPr>
              <w:pStyle w:val="Normal"/>
              <w:widowControl w:val="false"/>
              <w:numPr>
                <w:ilvl w:val="0"/>
                <w:numId w:val="6"/>
              </w:numPr>
              <w:pBdr/>
              <w:ind w:left="0" w:hanging="2"/>
              <w:jc w:val="both"/>
              <w:rPr>
                <w:color w:val="000000"/>
                <w:sz w:val="22"/>
                <w:szCs w:val="22"/>
              </w:rPr>
            </w:pPr>
            <w:r>
              <w:rPr>
                <w:color w:val="000000"/>
                <w:sz w:val="22"/>
                <w:szCs w:val="22"/>
              </w:rPr>
              <w:t>Analizar casos reales sobre percepción de calidad del cliente respecto a una determinada empresa o producto.</w:t>
            </w:r>
          </w:p>
          <w:p>
            <w:pPr>
              <w:pStyle w:val="Normal"/>
              <w:widowControl w:val="false"/>
              <w:numPr>
                <w:ilvl w:val="0"/>
                <w:numId w:val="6"/>
              </w:numPr>
              <w:pBdr/>
              <w:ind w:left="0" w:hanging="2"/>
              <w:jc w:val="both"/>
              <w:rPr>
                <w:color w:val="000000"/>
                <w:sz w:val="22"/>
                <w:szCs w:val="22"/>
              </w:rPr>
            </w:pPr>
            <w:r>
              <w:rPr>
                <w:color w:val="000000"/>
                <w:sz w:val="22"/>
                <w:szCs w:val="22"/>
              </w:rPr>
              <w:t>Kahoot de repaso.</w:t>
            </w:r>
          </w:p>
        </w:tc>
        <w:tc>
          <w:tcPr>
            <w:tcW w:w="1913" w:type="dxa"/>
            <w:tcBorders>
              <w:top w:val="single" w:sz="4" w:space="0" w:color="000000"/>
              <w:left w:val="single" w:sz="4" w:space="0" w:color="000000"/>
              <w:bottom w:val="single" w:sz="4" w:space="0" w:color="000000"/>
            </w:tcBorders>
          </w:tcPr>
          <w:p>
            <w:pPr>
              <w:pStyle w:val="Normal"/>
              <w:keepNext w:val="true"/>
              <w:widowControl w:val="false"/>
              <w:pBdr/>
              <w:ind w:hanging="2"/>
              <w:jc w:val="center"/>
              <w:rPr>
                <w:color w:val="000000"/>
                <w:sz w:val="22"/>
                <w:szCs w:val="22"/>
              </w:rPr>
            </w:pPr>
            <w:r>
              <w:rPr>
                <w:color w:val="000000"/>
                <w:sz w:val="22"/>
                <w:szCs w:val="22"/>
              </w:rPr>
            </w:r>
          </w:p>
          <w:p>
            <w:pPr>
              <w:pStyle w:val="Normal"/>
              <w:keepNext w:val="true"/>
              <w:widowControl w:val="false"/>
              <w:pBdr/>
              <w:ind w:hanging="2"/>
              <w:jc w:val="center"/>
              <w:rPr>
                <w:color w:val="000000"/>
                <w:sz w:val="22"/>
                <w:szCs w:val="22"/>
              </w:rPr>
            </w:pPr>
            <w:r>
              <w:rPr>
                <w:color w:val="000000"/>
                <w:sz w:val="22"/>
                <w:szCs w:val="22"/>
              </w:rPr>
            </w:r>
          </w:p>
          <w:p>
            <w:pPr>
              <w:pStyle w:val="Normal"/>
              <w:keepNext w:val="true"/>
              <w:widowControl w:val="false"/>
              <w:pBdr/>
              <w:ind w:hanging="2"/>
              <w:jc w:val="center"/>
              <w:rPr>
                <w:color w:val="000000"/>
                <w:sz w:val="22"/>
                <w:szCs w:val="22"/>
              </w:rPr>
            </w:pPr>
            <w:r>
              <w:rPr>
                <w:color w:val="000000"/>
                <w:sz w:val="22"/>
                <w:szCs w:val="22"/>
              </w:rPr>
              <w:t>N</w:t>
            </w:r>
          </w:p>
        </w:tc>
        <w:tc>
          <w:tcPr>
            <w:tcW w:w="1925"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pBdr/>
              <w:ind w:hanging="2"/>
              <w:jc w:val="center"/>
              <w:rPr>
                <w:color w:val="000000"/>
                <w:sz w:val="22"/>
                <w:szCs w:val="22"/>
              </w:rPr>
            </w:pPr>
            <w:r>
              <w:rPr>
                <w:color w:val="000000"/>
                <w:sz w:val="22"/>
                <w:szCs w:val="22"/>
              </w:rPr>
            </w:r>
          </w:p>
          <w:p>
            <w:pPr>
              <w:pStyle w:val="Normal"/>
              <w:keepNext w:val="true"/>
              <w:widowControl w:val="false"/>
              <w:pBdr/>
              <w:ind w:hanging="2"/>
              <w:jc w:val="center"/>
              <w:rPr>
                <w:color w:val="000000"/>
                <w:sz w:val="22"/>
                <w:szCs w:val="22"/>
              </w:rPr>
            </w:pPr>
            <w:r>
              <w:rPr>
                <w:color w:val="000000"/>
                <w:sz w:val="22"/>
                <w:szCs w:val="22"/>
              </w:rPr>
            </w:r>
          </w:p>
          <w:p>
            <w:pPr>
              <w:pStyle w:val="Normal"/>
              <w:keepNext w:val="true"/>
              <w:widowControl w:val="false"/>
              <w:pBdr/>
              <w:ind w:hanging="2"/>
              <w:jc w:val="center"/>
              <w:rPr>
                <w:color w:val="000000"/>
                <w:sz w:val="22"/>
                <w:szCs w:val="22"/>
              </w:rPr>
            </w:pPr>
            <w:r>
              <w:rPr>
                <w:color w:val="000000"/>
                <w:sz w:val="22"/>
                <w:szCs w:val="22"/>
              </w:rPr>
              <w:t>L</w:t>
            </w:r>
          </w:p>
        </w:tc>
      </w:tr>
    </w:tbl>
    <w:p>
      <w:pPr>
        <w:pStyle w:val="Normal"/>
        <w:pBdr/>
        <w:tabs>
          <w:tab w:val="clear" w:pos="720"/>
          <w:tab w:val="right" w:pos="560" w:leader="none"/>
          <w:tab w:val="left" w:pos="680" w:leader="none"/>
        </w:tabs>
        <w:ind w:hanging="2"/>
        <w:jc w:val="both"/>
        <w:rPr>
          <w:color w:val="000000"/>
        </w:rPr>
      </w:pPr>
      <w:r>
        <w:rPr>
          <w:color w:val="000000"/>
        </w:rPr>
      </w:r>
    </w:p>
    <w:tbl>
      <w:tblPr>
        <w:tblStyle w:val="afffffffe"/>
        <w:tblW w:w="10286" w:type="dxa"/>
        <w:jc w:val="left"/>
        <w:tblInd w:w="-355" w:type="dxa"/>
        <w:tblLayout w:type="fixed"/>
        <w:tblCellMar>
          <w:top w:w="0" w:type="dxa"/>
          <w:left w:w="108" w:type="dxa"/>
          <w:bottom w:w="0" w:type="dxa"/>
          <w:right w:w="108" w:type="dxa"/>
        </w:tblCellMar>
        <w:tblLook w:val="0000" w:noHBand="0" w:noVBand="0" w:firstColumn="0" w:lastRow="0" w:lastColumn="0" w:firstRow="0"/>
      </w:tblPr>
      <w:tblGrid>
        <w:gridCol w:w="6028"/>
        <w:gridCol w:w="1984"/>
        <w:gridCol w:w="2274"/>
      </w:tblGrid>
      <w:tr>
        <w:trPr/>
        <w:tc>
          <w:tcPr>
            <w:tcW w:w="10286" w:type="dxa"/>
            <w:gridSpan w:val="3"/>
            <w:tcBorders>
              <w:top w:val="single" w:sz="4" w:space="0" w:color="000000"/>
              <w:left w:val="single" w:sz="4" w:space="0" w:color="000000"/>
              <w:bottom w:val="single" w:sz="4" w:space="0" w:color="000000"/>
              <w:right w:val="single" w:sz="4" w:space="0" w:color="000000"/>
            </w:tcBorders>
            <w:shd w:color="auto" w:fill="B3B3B3" w:val="clear"/>
          </w:tcPr>
          <w:p>
            <w:pPr>
              <w:pStyle w:val="Normal"/>
              <w:keepNext w:val="true"/>
              <w:widowControl w:val="false"/>
              <w:pBdr/>
              <w:ind w:hanging="2"/>
              <w:jc w:val="center"/>
              <w:rPr>
                <w:b/>
                <w:b/>
                <w:color w:val="000000"/>
              </w:rPr>
            </w:pPr>
            <w:r>
              <w:rPr>
                <w:b/>
                <w:color w:val="000000"/>
              </w:rPr>
              <w:t>CRITERIOS DE:</w:t>
            </w:r>
          </w:p>
        </w:tc>
      </w:tr>
      <w:tr>
        <w:trPr/>
        <w:tc>
          <w:tcPr>
            <w:tcW w:w="6028" w:type="dxa"/>
            <w:tcBorders>
              <w:top w:val="single" w:sz="4" w:space="0" w:color="000000"/>
              <w:left w:val="single" w:sz="4" w:space="0" w:color="000000"/>
              <w:bottom w:val="single" w:sz="4" w:space="0" w:color="000000"/>
            </w:tcBorders>
            <w:shd w:color="auto" w:fill="D9D9D9" w:val="clear"/>
          </w:tcPr>
          <w:p>
            <w:pPr>
              <w:pStyle w:val="Normal"/>
              <w:widowControl w:val="false"/>
              <w:pBdr/>
              <w:ind w:hanging="2"/>
              <w:jc w:val="center"/>
              <w:rPr>
                <w:b/>
                <w:b/>
                <w:color w:val="000000"/>
              </w:rPr>
            </w:pPr>
            <w:r>
              <w:rPr>
                <w:b/>
                <w:color w:val="000000"/>
              </w:rPr>
              <w:t>EVALUACIÓN</w:t>
            </w:r>
          </w:p>
        </w:tc>
        <w:tc>
          <w:tcPr>
            <w:tcW w:w="1984" w:type="dxa"/>
            <w:tcBorders>
              <w:top w:val="single" w:sz="4" w:space="0" w:color="000000"/>
              <w:left w:val="single" w:sz="4" w:space="0" w:color="000000"/>
              <w:bottom w:val="single" w:sz="4" w:space="0" w:color="000000"/>
            </w:tcBorders>
            <w:shd w:color="auto" w:fill="D9D9D9" w:val="clear"/>
          </w:tcPr>
          <w:p>
            <w:pPr>
              <w:pStyle w:val="Normal"/>
              <w:widowControl w:val="false"/>
              <w:pBdr/>
              <w:ind w:hanging="2"/>
              <w:rPr>
                <w:b/>
                <w:b/>
                <w:color w:val="000000"/>
                <w:sz w:val="20"/>
                <w:szCs w:val="20"/>
              </w:rPr>
            </w:pPr>
            <w:r>
              <w:rPr>
                <w:b/>
                <w:color w:val="000000"/>
                <w:sz w:val="20"/>
                <w:szCs w:val="20"/>
              </w:rPr>
              <w:t>CALIFICACIÓN</w:t>
            </w:r>
          </w:p>
        </w:tc>
        <w:tc>
          <w:tcPr>
            <w:tcW w:w="2274" w:type="dxa"/>
            <w:tcBorders>
              <w:top w:val="single" w:sz="4" w:space="0" w:color="000000"/>
              <w:left w:val="single" w:sz="4" w:space="0" w:color="000000"/>
              <w:bottom w:val="single" w:sz="4" w:space="0" w:color="000000"/>
              <w:right w:val="single" w:sz="4" w:space="0" w:color="000000"/>
            </w:tcBorders>
            <w:shd w:color="auto" w:fill="D9D9D9" w:val="clear"/>
          </w:tcPr>
          <w:p>
            <w:pPr>
              <w:pStyle w:val="Normal"/>
              <w:widowControl w:val="false"/>
              <w:pBdr/>
              <w:ind w:hanging="2"/>
              <w:jc w:val="center"/>
              <w:rPr>
                <w:b/>
                <w:b/>
                <w:color w:val="000000"/>
                <w:sz w:val="20"/>
                <w:szCs w:val="20"/>
              </w:rPr>
            </w:pPr>
            <w:r>
              <w:rPr>
                <w:b/>
                <w:color w:val="000000"/>
                <w:sz w:val="20"/>
                <w:szCs w:val="20"/>
              </w:rPr>
              <w:t>RECUPERACIÓN</w:t>
            </w:r>
          </w:p>
        </w:tc>
      </w:tr>
      <w:tr>
        <w:trPr/>
        <w:tc>
          <w:tcPr>
            <w:tcW w:w="6028" w:type="dxa"/>
            <w:tcBorders>
              <w:top w:val="single" w:sz="4" w:space="0" w:color="000000"/>
              <w:left w:val="single" w:sz="4" w:space="0" w:color="000000"/>
              <w:bottom w:val="single" w:sz="4" w:space="0" w:color="000000"/>
            </w:tcBorders>
          </w:tcPr>
          <w:p>
            <w:pPr>
              <w:pStyle w:val="Normal"/>
              <w:widowControl w:val="false"/>
              <w:numPr>
                <w:ilvl w:val="0"/>
                <w:numId w:val="16"/>
              </w:numPr>
              <w:ind w:left="0" w:hanging="2"/>
              <w:jc w:val="both"/>
              <w:rPr/>
            </w:pPr>
            <w:r>
              <w:rPr/>
              <w:t>A) Se ha valorado la importancia del servicio posventa en los procesos comerciales.</w:t>
            </w:r>
          </w:p>
          <w:p>
            <w:pPr>
              <w:pStyle w:val="Normal"/>
              <w:widowControl w:val="false"/>
              <w:numPr>
                <w:ilvl w:val="0"/>
                <w:numId w:val="16"/>
              </w:numPr>
              <w:ind w:left="0" w:hanging="2"/>
              <w:jc w:val="both"/>
              <w:rPr/>
            </w:pPr>
            <w:r>
              <w:rPr/>
              <w:t>B) Se han identificado los elementos que intervienen en la atención posventa.</w:t>
            </w:r>
          </w:p>
          <w:p>
            <w:pPr>
              <w:pStyle w:val="Normal"/>
              <w:widowControl w:val="false"/>
              <w:numPr>
                <w:ilvl w:val="0"/>
                <w:numId w:val="16"/>
              </w:numPr>
              <w:ind w:left="0" w:hanging="2"/>
              <w:jc w:val="both"/>
              <w:rPr/>
            </w:pPr>
            <w:r>
              <w:rPr/>
              <w:t>C) Se han identificado las situaciones comerciales que precisan seguimiento y servicio posventa.</w:t>
            </w:r>
          </w:p>
          <w:p>
            <w:pPr>
              <w:pStyle w:val="Normal"/>
              <w:widowControl w:val="false"/>
              <w:numPr>
                <w:ilvl w:val="0"/>
                <w:numId w:val="16"/>
              </w:numPr>
              <w:ind w:left="0" w:hanging="2"/>
              <w:jc w:val="both"/>
              <w:rPr/>
            </w:pPr>
            <w:r>
              <w:rPr/>
              <w:t>D) Se han aplicado las métodos más utilizados habitualmente en el control de calidad del servicio posventa y los elementos que intervienen en la fidelización del cliente.</w:t>
            </w:r>
          </w:p>
          <w:p>
            <w:pPr>
              <w:pStyle w:val="Normal"/>
              <w:widowControl w:val="false"/>
              <w:numPr>
                <w:ilvl w:val="0"/>
                <w:numId w:val="16"/>
              </w:numPr>
              <w:ind w:left="0" w:hanging="2"/>
              <w:jc w:val="both"/>
              <w:rPr/>
            </w:pPr>
            <w:r>
              <w:rPr/>
              <w:t>E) Se han distinguido los momentos o fases que estructuran el proceso de posventa.</w:t>
            </w:r>
          </w:p>
          <w:p>
            <w:pPr>
              <w:pStyle w:val="Normal"/>
              <w:widowControl w:val="false"/>
              <w:numPr>
                <w:ilvl w:val="0"/>
                <w:numId w:val="16"/>
              </w:numPr>
              <w:ind w:left="0" w:hanging="2"/>
              <w:jc w:val="both"/>
              <w:rPr/>
            </w:pPr>
            <w:r>
              <w:rPr/>
              <w:t>F) Se han utilizado las herramientas de gestión de un servicio posventa.</w:t>
            </w:r>
          </w:p>
          <w:p>
            <w:pPr>
              <w:pStyle w:val="Normal"/>
              <w:widowControl w:val="false"/>
              <w:numPr>
                <w:ilvl w:val="0"/>
                <w:numId w:val="16"/>
              </w:numPr>
              <w:ind w:left="0" w:hanging="2"/>
              <w:jc w:val="both"/>
              <w:rPr/>
            </w:pPr>
            <w:r>
              <w:rPr/>
              <w:t>G) Se han descrito las fases del procedimiento de relación con los clientes.</w:t>
            </w:r>
          </w:p>
          <w:p>
            <w:pPr>
              <w:pStyle w:val="Normal"/>
              <w:widowControl w:val="false"/>
              <w:numPr>
                <w:ilvl w:val="0"/>
                <w:numId w:val="16"/>
              </w:numPr>
              <w:ind w:left="0" w:hanging="2"/>
              <w:jc w:val="both"/>
              <w:rPr/>
            </w:pPr>
            <w:r>
              <w:rPr/>
              <w:t>H) Se han descrito los estándares de calidad definidos en la prestación del servicio.</w:t>
            </w:r>
          </w:p>
          <w:p>
            <w:pPr>
              <w:pStyle w:val="Normal"/>
              <w:widowControl w:val="false"/>
              <w:numPr>
                <w:ilvl w:val="0"/>
                <w:numId w:val="16"/>
              </w:numPr>
              <w:ind w:left="0" w:hanging="2"/>
              <w:jc w:val="both"/>
              <w:rPr/>
            </w:pPr>
            <w:r>
              <w:rPr/>
              <w:t>I) Se han detectado y solventado los errores producidos en la prestación del servicio.</w:t>
            </w:r>
          </w:p>
          <w:p>
            <w:pPr>
              <w:pStyle w:val="Normal"/>
              <w:widowControl w:val="false"/>
              <w:numPr>
                <w:ilvl w:val="0"/>
                <w:numId w:val="16"/>
              </w:numPr>
              <w:ind w:left="0" w:hanging="2"/>
              <w:jc w:val="both"/>
              <w:rPr/>
            </w:pPr>
            <w:r>
              <w:rPr/>
              <w:t>J) Se ha aplicado el tratamiento adecuado en la gestión de las anomalías producidas.</w:t>
            </w:r>
          </w:p>
        </w:tc>
        <w:tc>
          <w:tcPr>
            <w:tcW w:w="1984" w:type="dxa"/>
            <w:tcBorders>
              <w:top w:val="single" w:sz="4" w:space="0" w:color="000000"/>
              <w:left w:val="single" w:sz="4" w:space="0" w:color="000000"/>
              <w:bottom w:val="single" w:sz="4" w:space="0" w:color="000000"/>
            </w:tcBorders>
          </w:tcPr>
          <w:p>
            <w:pPr>
              <w:pStyle w:val="Normal"/>
              <w:widowControl w:val="false"/>
              <w:ind w:hanging="2"/>
              <w:rPr>
                <w:sz w:val="22"/>
                <w:szCs w:val="22"/>
              </w:rPr>
            </w:pPr>
            <w:r>
              <w:rPr>
                <w:sz w:val="22"/>
                <w:szCs w:val="22"/>
              </w:rPr>
              <w:t>Los que se han detallado al inicio de esta programación.</w:t>
            </w:r>
          </w:p>
        </w:tc>
        <w:tc>
          <w:tcPr>
            <w:tcW w:w="2274" w:type="dxa"/>
            <w:tcBorders>
              <w:top w:val="single" w:sz="4" w:space="0" w:color="000000"/>
              <w:left w:val="single" w:sz="4" w:space="0" w:color="000000"/>
              <w:bottom w:val="single" w:sz="4" w:space="0" w:color="000000"/>
              <w:right w:val="single" w:sz="4" w:space="0" w:color="000000"/>
            </w:tcBorders>
          </w:tcPr>
          <w:p>
            <w:pPr>
              <w:pStyle w:val="Normal"/>
              <w:widowControl w:val="false"/>
              <w:ind w:hanging="2"/>
              <w:rPr>
                <w:sz w:val="22"/>
                <w:szCs w:val="22"/>
              </w:rPr>
            </w:pPr>
            <w:r>
              <w:rPr>
                <w:sz w:val="22"/>
                <w:szCs w:val="22"/>
              </w:rPr>
              <w:t>Los que se han detallado al inicio de esta programación.</w:t>
            </w:r>
          </w:p>
        </w:tc>
      </w:tr>
    </w:tbl>
    <w:p>
      <w:pPr>
        <w:pStyle w:val="Normal"/>
        <w:ind w:hanging="2"/>
        <w:jc w:val="both"/>
        <w:rPr/>
      </w:pPr>
      <w:r>
        <w:rPr/>
      </w:r>
    </w:p>
    <w:p>
      <w:pPr>
        <w:pStyle w:val="Normal"/>
        <w:ind w:hanging="2"/>
        <w:jc w:val="both"/>
        <w:rPr/>
      </w:pPr>
      <w:r>
        <w:rPr/>
      </w:r>
      <w:r>
        <w:br w:type="page"/>
      </w:r>
    </w:p>
    <w:p>
      <w:pPr>
        <w:pStyle w:val="Normal"/>
        <w:ind w:hanging="2"/>
        <w:rPr/>
      </w:pPr>
      <w:r>
        <w:rPr/>
      </w:r>
    </w:p>
    <w:tbl>
      <w:tblPr>
        <w:tblStyle w:val="affffffff"/>
        <w:tblW w:w="10354" w:type="dxa"/>
        <w:jc w:val="left"/>
        <w:tblInd w:w="-355" w:type="dxa"/>
        <w:tblLayout w:type="fixed"/>
        <w:tblCellMar>
          <w:top w:w="0" w:type="dxa"/>
          <w:left w:w="108" w:type="dxa"/>
          <w:bottom w:w="0" w:type="dxa"/>
          <w:right w:w="108" w:type="dxa"/>
        </w:tblCellMar>
        <w:tblLook w:val="0000" w:noHBand="0" w:noVBand="0" w:firstColumn="0" w:lastRow="0" w:lastColumn="0" w:firstRow="0"/>
      </w:tblPr>
      <w:tblGrid>
        <w:gridCol w:w="2479"/>
        <w:gridCol w:w="5109"/>
        <w:gridCol w:w="2766"/>
      </w:tblGrid>
      <w:tr>
        <w:trPr/>
        <w:tc>
          <w:tcPr>
            <w:tcW w:w="2479" w:type="dxa"/>
            <w:tcBorders>
              <w:top w:val="single" w:sz="4" w:space="0" w:color="000000"/>
              <w:left w:val="single" w:sz="4" w:space="0" w:color="000000"/>
              <w:bottom w:val="single" w:sz="4" w:space="0" w:color="000000"/>
            </w:tcBorders>
            <w:shd w:color="auto" w:fill="D9D9D9" w:val="clear"/>
            <w:vAlign w:val="center"/>
          </w:tcPr>
          <w:p>
            <w:pPr>
              <w:pStyle w:val="Normal"/>
              <w:keepNext w:val="true"/>
              <w:widowControl w:val="false"/>
              <w:pBdr/>
              <w:ind w:hanging="2"/>
              <w:jc w:val="center"/>
              <w:rPr>
                <w:b/>
                <w:b/>
                <w:color w:val="000000"/>
              </w:rPr>
            </w:pPr>
            <w:r>
              <w:rPr>
                <w:b/>
                <w:color w:val="000000"/>
              </w:rPr>
              <w:t>UD 7</w:t>
            </w:r>
          </w:p>
        </w:tc>
        <w:tc>
          <w:tcPr>
            <w:tcW w:w="5109" w:type="dxa"/>
            <w:tcBorders>
              <w:top w:val="single" w:sz="4" w:space="0" w:color="000000"/>
              <w:left w:val="single" w:sz="4" w:space="0" w:color="000000"/>
              <w:bottom w:val="single" w:sz="4" w:space="0" w:color="000000"/>
            </w:tcBorders>
            <w:shd w:color="auto" w:fill="D9D9D9" w:val="clear"/>
          </w:tcPr>
          <w:p>
            <w:pPr>
              <w:pStyle w:val="Normal"/>
              <w:widowControl w:val="false"/>
              <w:ind w:hanging="2"/>
              <w:jc w:val="center"/>
              <w:rPr>
                <w:sz w:val="18"/>
                <w:szCs w:val="18"/>
              </w:rPr>
            </w:pPr>
            <w:r>
              <w:rPr>
                <w:sz w:val="18"/>
                <w:szCs w:val="18"/>
              </w:rPr>
            </w:r>
          </w:p>
          <w:p>
            <w:pPr>
              <w:pStyle w:val="Normal"/>
              <w:widowControl w:val="false"/>
              <w:ind w:hanging="2"/>
              <w:jc w:val="center"/>
              <w:rPr/>
            </w:pPr>
            <w:r>
              <w:rPr>
                <w:b/>
              </w:rPr>
              <w:t>ARCHIVO, REGISTRO Y RECUPERACIÓN DE INFORMACIÓN</w:t>
            </w:r>
          </w:p>
        </w:tc>
        <w:tc>
          <w:tcPr>
            <w:tcW w:w="2766" w:type="dxa"/>
            <w:tcBorders>
              <w:top w:val="single" w:sz="4" w:space="0" w:color="000000"/>
              <w:left w:val="single" w:sz="4" w:space="0" w:color="000000"/>
              <w:bottom w:val="single" w:sz="4" w:space="0" w:color="000000"/>
              <w:right w:val="single" w:sz="4" w:space="0" w:color="000000"/>
            </w:tcBorders>
            <w:shd w:color="auto" w:fill="D9D9D9" w:val="clear"/>
          </w:tcPr>
          <w:p>
            <w:pPr>
              <w:pStyle w:val="Normal"/>
              <w:keepNext w:val="true"/>
              <w:widowControl w:val="false"/>
              <w:pBdr/>
              <w:ind w:hanging="2"/>
              <w:jc w:val="both"/>
              <w:rPr>
                <w:b/>
                <w:b/>
                <w:color w:val="000000"/>
                <w:u w:val="single"/>
              </w:rPr>
            </w:pPr>
            <w:r>
              <w:rPr>
                <w:b/>
                <w:color w:val="000000"/>
              </w:rPr>
              <w:t>Nº de horas previstas</w:t>
            </w:r>
          </w:p>
          <w:p>
            <w:pPr>
              <w:pStyle w:val="Normal"/>
              <w:widowControl w:val="false"/>
              <w:ind w:hanging="2"/>
              <w:jc w:val="center"/>
              <w:rPr/>
            </w:pPr>
            <w:r>
              <w:rPr/>
            </w:r>
          </w:p>
          <w:p>
            <w:pPr>
              <w:pStyle w:val="Normal"/>
              <w:widowControl w:val="false"/>
              <w:ind w:hanging="2"/>
              <w:jc w:val="center"/>
              <w:rPr>
                <w:b/>
                <w:b/>
              </w:rPr>
            </w:pPr>
            <w:r>
              <w:rPr>
                <w:b/>
              </w:rPr>
              <w:t>16/16</w:t>
            </w:r>
          </w:p>
          <w:p>
            <w:pPr>
              <w:pStyle w:val="Normal"/>
              <w:widowControl w:val="false"/>
              <w:ind w:hanging="2"/>
              <w:jc w:val="center"/>
              <w:rPr/>
            </w:pPr>
            <w:r>
              <w:rPr>
                <w:b/>
              </w:rPr>
              <w:t>TODO dual excepto b)</w:t>
            </w:r>
          </w:p>
          <w:p>
            <w:pPr>
              <w:pStyle w:val="Normal"/>
              <w:widowControl w:val="false"/>
              <w:ind w:hanging="2"/>
              <w:rPr/>
            </w:pPr>
            <w:r>
              <w:rPr/>
            </w:r>
          </w:p>
        </w:tc>
      </w:tr>
    </w:tbl>
    <w:p>
      <w:pPr>
        <w:pStyle w:val="Normal"/>
        <w:widowControl w:val="false"/>
        <w:pBdr/>
        <w:spacing w:lineRule="auto" w:line="276"/>
        <w:ind w:hanging="2"/>
        <w:rPr/>
      </w:pPr>
      <w:r>
        <w:rPr/>
      </w:r>
    </w:p>
    <w:tbl>
      <w:tblPr>
        <w:tblStyle w:val="affffffff0"/>
        <w:tblW w:w="8244" w:type="dxa"/>
        <w:jc w:val="left"/>
        <w:tblInd w:w="-324" w:type="dxa"/>
        <w:tblLayout w:type="fixed"/>
        <w:tblCellMar>
          <w:top w:w="0" w:type="dxa"/>
          <w:left w:w="108" w:type="dxa"/>
          <w:bottom w:w="0" w:type="dxa"/>
          <w:right w:w="108" w:type="dxa"/>
        </w:tblCellMar>
        <w:tblLook w:val="0000" w:noHBand="0" w:noVBand="0" w:firstColumn="0" w:lastRow="0" w:lastColumn="0" w:firstRow="0"/>
      </w:tblPr>
      <w:tblGrid>
        <w:gridCol w:w="8244"/>
      </w:tblGrid>
      <w:tr>
        <w:trPr>
          <w:trHeight w:val="6348" w:hRule="atLeast"/>
        </w:trPr>
        <w:tc>
          <w:tcPr>
            <w:tcW w:w="8244"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pBdr/>
              <w:ind w:hanging="2"/>
              <w:jc w:val="both"/>
              <w:rPr>
                <w:color w:val="000000"/>
              </w:rPr>
            </w:pPr>
            <w:r>
              <w:rPr>
                <w:b/>
                <w:color w:val="000000"/>
                <w:u w:val="single"/>
              </w:rPr>
              <w:t>Contenidos</w:t>
            </w:r>
            <w:r>
              <w:rPr>
                <w:b/>
                <w:color w:val="000000"/>
              </w:rPr>
              <w:t>:</w:t>
            </w:r>
          </w:p>
          <w:p>
            <w:pPr>
              <w:pStyle w:val="Normal"/>
              <w:widowControl w:val="false"/>
              <w:numPr>
                <w:ilvl w:val="0"/>
                <w:numId w:val="17"/>
              </w:numPr>
              <w:ind w:left="0" w:hanging="2"/>
              <w:jc w:val="both"/>
              <w:rPr/>
            </w:pPr>
            <w:r>
              <w:rPr/>
              <w:t>Gestión de la correspondencia.</w:t>
            </w:r>
          </w:p>
          <w:p>
            <w:pPr>
              <w:pStyle w:val="Normal"/>
              <w:widowControl w:val="false"/>
              <w:numPr>
                <w:ilvl w:val="1"/>
                <w:numId w:val="17"/>
              </w:numPr>
              <w:ind w:left="0" w:hanging="2"/>
              <w:jc w:val="both"/>
              <w:rPr/>
            </w:pPr>
            <w:r>
              <w:rPr/>
              <w:t>Tratamiento de la gestión de la correspondencia de entrada.</w:t>
            </w:r>
          </w:p>
          <w:p>
            <w:pPr>
              <w:pStyle w:val="Normal"/>
              <w:widowControl w:val="false"/>
              <w:numPr>
                <w:ilvl w:val="1"/>
                <w:numId w:val="17"/>
              </w:numPr>
              <w:ind w:left="0" w:hanging="2"/>
              <w:jc w:val="both"/>
              <w:rPr/>
            </w:pPr>
            <w:r>
              <w:rPr/>
              <w:t>Tratamiento de la gestión de la correspondencia de salida.</w:t>
            </w:r>
          </w:p>
          <w:p>
            <w:pPr>
              <w:pStyle w:val="Normal"/>
              <w:widowControl w:val="false"/>
              <w:numPr>
                <w:ilvl w:val="1"/>
                <w:numId w:val="17"/>
              </w:numPr>
              <w:ind w:left="0" w:hanging="2"/>
              <w:jc w:val="both"/>
              <w:rPr/>
            </w:pPr>
            <w:r>
              <w:rPr/>
              <w:t>Libros de registro.</w:t>
            </w:r>
          </w:p>
          <w:p>
            <w:pPr>
              <w:pStyle w:val="Normal"/>
              <w:widowControl w:val="false"/>
              <w:numPr>
                <w:ilvl w:val="0"/>
                <w:numId w:val="17"/>
              </w:numPr>
              <w:ind w:left="0" w:hanging="2"/>
              <w:jc w:val="both"/>
              <w:rPr/>
            </w:pPr>
            <w:r>
              <w:rPr/>
              <w:t>Servicios de Correos, correspondencia y paquetería.</w:t>
            </w:r>
          </w:p>
          <w:p>
            <w:pPr>
              <w:pStyle w:val="Normal"/>
              <w:widowControl w:val="false"/>
              <w:numPr>
                <w:ilvl w:val="1"/>
                <w:numId w:val="17"/>
              </w:numPr>
              <w:ind w:left="0" w:hanging="2"/>
              <w:jc w:val="both"/>
              <w:rPr/>
            </w:pPr>
            <w:r>
              <w:rPr/>
              <w:t>Correos.</w:t>
            </w:r>
          </w:p>
          <w:p>
            <w:pPr>
              <w:pStyle w:val="Normal"/>
              <w:widowControl w:val="false"/>
              <w:numPr>
                <w:ilvl w:val="1"/>
                <w:numId w:val="17"/>
              </w:numPr>
              <w:ind w:left="0" w:hanging="2"/>
              <w:jc w:val="both"/>
              <w:rPr/>
            </w:pPr>
            <w:r>
              <w:rPr/>
              <w:t>Servicios privados de mensajería y paquetería.</w:t>
            </w:r>
          </w:p>
          <w:p>
            <w:pPr>
              <w:pStyle w:val="Normal"/>
              <w:widowControl w:val="false"/>
              <w:numPr>
                <w:ilvl w:val="0"/>
                <w:numId w:val="17"/>
              </w:numPr>
              <w:ind w:left="0" w:hanging="2"/>
              <w:jc w:val="both"/>
              <w:rPr/>
            </w:pPr>
            <w:r>
              <w:rPr/>
              <w:t>Firma electrónica y certificado digital.</w:t>
            </w:r>
          </w:p>
          <w:p>
            <w:pPr>
              <w:pStyle w:val="Normal"/>
              <w:widowControl w:val="false"/>
              <w:numPr>
                <w:ilvl w:val="0"/>
                <w:numId w:val="17"/>
              </w:numPr>
              <w:ind w:left="0" w:hanging="2"/>
              <w:jc w:val="both"/>
              <w:rPr/>
            </w:pPr>
            <w:r>
              <w:rPr/>
              <w:t>Procedimientos de seguridad y confidencialidad de la información.</w:t>
            </w:r>
          </w:p>
          <w:p>
            <w:pPr>
              <w:pStyle w:val="Normal"/>
              <w:widowControl w:val="false"/>
              <w:numPr>
                <w:ilvl w:val="0"/>
                <w:numId w:val="17"/>
              </w:numPr>
              <w:ind w:left="0" w:hanging="2"/>
              <w:jc w:val="both"/>
              <w:rPr/>
            </w:pPr>
            <w:r>
              <w:rPr/>
              <w:t>Archivo. Concepto y finalidad.</w:t>
            </w:r>
          </w:p>
          <w:p>
            <w:pPr>
              <w:pStyle w:val="Normal"/>
              <w:widowControl w:val="false"/>
              <w:numPr>
                <w:ilvl w:val="1"/>
                <w:numId w:val="17"/>
              </w:numPr>
              <w:ind w:left="0" w:hanging="2"/>
              <w:jc w:val="both"/>
              <w:rPr/>
            </w:pPr>
            <w:r>
              <w:rPr/>
              <w:t>Sistemas de clasificación.</w:t>
            </w:r>
          </w:p>
          <w:p>
            <w:pPr>
              <w:pStyle w:val="Normal"/>
              <w:widowControl w:val="false"/>
              <w:numPr>
                <w:ilvl w:val="1"/>
                <w:numId w:val="17"/>
              </w:numPr>
              <w:ind w:left="0" w:hanging="2"/>
              <w:jc w:val="both"/>
              <w:rPr/>
            </w:pPr>
            <w:r>
              <w:rPr/>
              <w:t>Archivo: concepto y tipos.</w:t>
            </w:r>
          </w:p>
          <w:p>
            <w:pPr>
              <w:pStyle w:val="Normal"/>
              <w:widowControl w:val="false"/>
              <w:numPr>
                <w:ilvl w:val="1"/>
                <w:numId w:val="17"/>
              </w:numPr>
              <w:ind w:left="0" w:hanging="2"/>
              <w:jc w:val="both"/>
              <w:rPr/>
            </w:pPr>
            <w:r>
              <w:rPr/>
              <w:t>Organización del archivo.</w:t>
            </w:r>
          </w:p>
          <w:p>
            <w:pPr>
              <w:pStyle w:val="Normal"/>
              <w:widowControl w:val="false"/>
              <w:numPr>
                <w:ilvl w:val="1"/>
                <w:numId w:val="17"/>
              </w:numPr>
              <w:ind w:left="0" w:hanging="2"/>
              <w:jc w:val="both"/>
              <w:rPr/>
            </w:pPr>
            <w:r>
              <w:rPr/>
              <w:t>El proceso del archivo.</w:t>
            </w:r>
          </w:p>
          <w:p>
            <w:pPr>
              <w:pStyle w:val="Normal"/>
              <w:widowControl w:val="false"/>
              <w:numPr>
                <w:ilvl w:val="1"/>
                <w:numId w:val="17"/>
              </w:numPr>
              <w:ind w:left="0" w:hanging="2"/>
              <w:jc w:val="both"/>
              <w:rPr/>
            </w:pPr>
            <w:r>
              <w:rPr/>
              <w:t>Destrucción de documentos.</w:t>
            </w:r>
          </w:p>
          <w:p>
            <w:pPr>
              <w:pStyle w:val="Normal"/>
              <w:widowControl w:val="false"/>
              <w:numPr>
                <w:ilvl w:val="0"/>
                <w:numId w:val="17"/>
              </w:numPr>
              <w:ind w:left="0" w:hanging="2"/>
              <w:jc w:val="both"/>
              <w:rPr/>
            </w:pPr>
            <w:r>
              <w:rPr/>
              <w:t>Archivo de la información en soporte informático.</w:t>
            </w:r>
          </w:p>
          <w:p>
            <w:pPr>
              <w:pStyle w:val="Normal"/>
              <w:widowControl w:val="false"/>
              <w:numPr>
                <w:ilvl w:val="1"/>
                <w:numId w:val="17"/>
              </w:numPr>
              <w:ind w:left="0" w:hanging="2"/>
              <w:jc w:val="both"/>
              <w:rPr/>
            </w:pPr>
            <w:r>
              <w:rPr/>
              <w:t>Bases de datos.</w:t>
            </w:r>
          </w:p>
          <w:p>
            <w:pPr>
              <w:pStyle w:val="Normal"/>
              <w:widowControl w:val="false"/>
              <w:numPr>
                <w:ilvl w:val="1"/>
                <w:numId w:val="17"/>
              </w:numPr>
              <w:ind w:left="0" w:hanging="2"/>
              <w:jc w:val="both"/>
              <w:rPr/>
            </w:pPr>
            <w:r>
              <w:rPr/>
              <w:t>Procedimientos de protección de datos.</w:t>
            </w:r>
          </w:p>
          <w:p>
            <w:pPr>
              <w:pStyle w:val="Normal"/>
              <w:widowControl w:val="false"/>
              <w:numPr>
                <w:ilvl w:val="0"/>
                <w:numId w:val="17"/>
              </w:numPr>
              <w:ind w:left="0" w:hanging="2"/>
              <w:jc w:val="both"/>
              <w:rPr/>
            </w:pPr>
            <w:r>
              <w:rPr/>
              <w:t>Correo electrónico.</w:t>
            </w:r>
          </w:p>
        </w:tc>
      </w:tr>
    </w:tbl>
    <w:p>
      <w:pPr>
        <w:pStyle w:val="Normal"/>
        <w:ind w:hanging="2"/>
        <w:rPr/>
      </w:pPr>
      <w:r>
        <w:rPr/>
      </w:r>
    </w:p>
    <w:tbl>
      <w:tblPr>
        <w:tblStyle w:val="affffffff1"/>
        <w:tblW w:w="10324" w:type="dxa"/>
        <w:jc w:val="left"/>
        <w:tblInd w:w="-355" w:type="dxa"/>
        <w:tblLayout w:type="fixed"/>
        <w:tblCellMar>
          <w:top w:w="0" w:type="dxa"/>
          <w:left w:w="108" w:type="dxa"/>
          <w:bottom w:w="0" w:type="dxa"/>
          <w:right w:w="108" w:type="dxa"/>
        </w:tblCellMar>
        <w:tblLook w:val="0000" w:noHBand="0" w:noVBand="0" w:firstColumn="0" w:lastRow="0" w:lastColumn="0" w:firstRow="0"/>
      </w:tblPr>
      <w:tblGrid>
        <w:gridCol w:w="6486"/>
        <w:gridCol w:w="1913"/>
        <w:gridCol w:w="1925"/>
      </w:tblGrid>
      <w:tr>
        <w:trPr/>
        <w:tc>
          <w:tcPr>
            <w:tcW w:w="6486" w:type="dxa"/>
            <w:tcBorders>
              <w:top w:val="single" w:sz="4" w:space="0" w:color="000000"/>
              <w:left w:val="single" w:sz="4" w:space="0" w:color="000000"/>
              <w:bottom w:val="single" w:sz="4" w:space="0" w:color="000000"/>
            </w:tcBorders>
            <w:vAlign w:val="center"/>
          </w:tcPr>
          <w:p>
            <w:pPr>
              <w:pStyle w:val="Normal"/>
              <w:keepNext w:val="true"/>
              <w:widowControl w:val="false"/>
              <w:pBdr/>
              <w:ind w:hanging="2"/>
              <w:jc w:val="center"/>
              <w:rPr>
                <w:b/>
                <w:b/>
                <w:color w:val="000000"/>
                <w:sz w:val="22"/>
                <w:szCs w:val="22"/>
                <w:u w:val="single"/>
              </w:rPr>
            </w:pPr>
            <w:r>
              <w:rPr>
                <w:b/>
                <w:color w:val="000000"/>
                <w:sz w:val="22"/>
                <w:szCs w:val="22"/>
                <w:u w:val="single"/>
              </w:rPr>
              <w:t>Actividades concretas a realizar en la EMPRESA</w:t>
            </w:r>
          </w:p>
        </w:tc>
        <w:tc>
          <w:tcPr>
            <w:tcW w:w="1913" w:type="dxa"/>
            <w:tcBorders>
              <w:top w:val="single" w:sz="4" w:space="0" w:color="000000"/>
              <w:left w:val="single" w:sz="4" w:space="0" w:color="000000"/>
              <w:bottom w:val="single" w:sz="4" w:space="0" w:color="000000"/>
            </w:tcBorders>
            <w:vAlign w:val="center"/>
          </w:tcPr>
          <w:p>
            <w:pPr>
              <w:pStyle w:val="Normal"/>
              <w:keepNext w:val="true"/>
              <w:widowControl w:val="false"/>
              <w:pBdr/>
              <w:ind w:hanging="2"/>
              <w:jc w:val="center"/>
              <w:rPr>
                <w:b/>
                <w:b/>
                <w:color w:val="000000"/>
                <w:sz w:val="22"/>
                <w:szCs w:val="22"/>
                <w:u w:val="single"/>
              </w:rPr>
            </w:pPr>
            <w:r>
              <w:rPr>
                <w:b/>
                <w:color w:val="000000"/>
                <w:sz w:val="22"/>
                <w:szCs w:val="22"/>
                <w:u w:val="single"/>
              </w:rPr>
              <w:t>Objetivos</w:t>
            </w:r>
          </w:p>
          <w:p>
            <w:pPr>
              <w:pStyle w:val="Normal"/>
              <w:keepNext w:val="true"/>
              <w:widowControl w:val="false"/>
              <w:pBdr/>
              <w:ind w:hanging="2"/>
              <w:jc w:val="center"/>
              <w:rPr>
                <w:b/>
                <w:b/>
                <w:color w:val="000000"/>
                <w:sz w:val="22"/>
                <w:szCs w:val="22"/>
                <w:u w:val="single"/>
              </w:rPr>
            </w:pPr>
            <w:r>
              <w:rPr>
                <w:b/>
                <w:color w:val="000000"/>
                <w:sz w:val="22"/>
                <w:szCs w:val="22"/>
                <w:u w:val="single"/>
              </w:rPr>
              <w:t>Generales</w:t>
            </w:r>
          </w:p>
          <w:p>
            <w:pPr>
              <w:pStyle w:val="Normal"/>
              <w:keepNext w:val="true"/>
              <w:widowControl w:val="false"/>
              <w:pBdr/>
              <w:ind w:hanging="2"/>
              <w:jc w:val="center"/>
              <w:rPr>
                <w:b/>
                <w:b/>
                <w:color w:val="000000"/>
                <w:sz w:val="22"/>
                <w:szCs w:val="22"/>
                <w:u w:val="single"/>
              </w:rPr>
            </w:pPr>
            <w:r>
              <w:rPr>
                <w:b/>
                <w:color w:val="000000"/>
                <w:sz w:val="22"/>
                <w:szCs w:val="22"/>
                <w:u w:val="single"/>
              </w:rPr>
              <w:t>Trabajados</w:t>
            </w:r>
          </w:p>
        </w:tc>
        <w:tc>
          <w:tcPr>
            <w:tcW w:w="1925" w:type="dxa"/>
            <w:tcBorders>
              <w:top w:val="single" w:sz="4" w:space="0" w:color="000000"/>
              <w:left w:val="single" w:sz="4" w:space="0" w:color="000000"/>
              <w:bottom w:val="single" w:sz="4" w:space="0" w:color="000000"/>
              <w:right w:val="single" w:sz="4" w:space="0" w:color="000000"/>
            </w:tcBorders>
            <w:vAlign w:val="center"/>
          </w:tcPr>
          <w:p>
            <w:pPr>
              <w:pStyle w:val="Normal"/>
              <w:keepNext w:val="true"/>
              <w:widowControl w:val="false"/>
              <w:pBdr/>
              <w:ind w:hanging="2"/>
              <w:jc w:val="center"/>
              <w:rPr>
                <w:b/>
                <w:b/>
                <w:color w:val="000000"/>
                <w:sz w:val="22"/>
                <w:szCs w:val="22"/>
                <w:u w:val="single"/>
              </w:rPr>
            </w:pPr>
            <w:r>
              <w:rPr>
                <w:b/>
                <w:color w:val="000000"/>
                <w:sz w:val="22"/>
                <w:szCs w:val="22"/>
                <w:u w:val="single"/>
              </w:rPr>
              <w:t>Competencias Asociadas</w:t>
            </w:r>
          </w:p>
        </w:tc>
      </w:tr>
      <w:tr>
        <w:trPr/>
        <w:tc>
          <w:tcPr>
            <w:tcW w:w="6486" w:type="dxa"/>
            <w:tcBorders>
              <w:top w:val="single" w:sz="4" w:space="0" w:color="000000"/>
              <w:left w:val="single" w:sz="4" w:space="0" w:color="000000"/>
              <w:bottom w:val="single" w:sz="4" w:space="0" w:color="000000"/>
            </w:tcBorders>
            <w:vAlign w:val="center"/>
          </w:tcPr>
          <w:p>
            <w:pPr>
              <w:pStyle w:val="Normal"/>
              <w:widowControl w:val="false"/>
              <w:numPr>
                <w:ilvl w:val="0"/>
                <w:numId w:val="6"/>
              </w:numPr>
              <w:pBdr/>
              <w:ind w:left="641" w:hanging="0"/>
              <w:jc w:val="both"/>
              <w:rPr>
                <w:color w:val="000000"/>
                <w:sz w:val="22"/>
                <w:szCs w:val="22"/>
              </w:rPr>
            </w:pPr>
            <w:r>
              <w:rPr>
                <w:color w:val="000000"/>
              </w:rPr>
              <w:t>1El discente identificará el procedimiento establecido en la empresa para recepción, registro y distribución de la comunicación escrita así como los medios utilizados asociando ventajas e inconvenientes de cada uno.</w:t>
            </w:r>
          </w:p>
        </w:tc>
        <w:tc>
          <w:tcPr>
            <w:tcW w:w="1913" w:type="dxa"/>
            <w:tcBorders>
              <w:top w:val="single" w:sz="4" w:space="0" w:color="000000"/>
              <w:left w:val="single" w:sz="4" w:space="0" w:color="000000"/>
              <w:bottom w:val="single" w:sz="4" w:space="0" w:color="000000"/>
            </w:tcBorders>
          </w:tcPr>
          <w:p>
            <w:pPr>
              <w:pStyle w:val="Normal"/>
              <w:keepNext w:val="true"/>
              <w:widowControl w:val="false"/>
              <w:pBdr/>
              <w:ind w:hanging="2"/>
              <w:jc w:val="center"/>
              <w:rPr>
                <w:color w:val="000000"/>
                <w:sz w:val="22"/>
                <w:szCs w:val="22"/>
              </w:rPr>
            </w:pPr>
            <w:r>
              <w:rPr>
                <w:color w:val="000000"/>
                <w:sz w:val="22"/>
                <w:szCs w:val="22"/>
              </w:rPr>
            </w:r>
          </w:p>
          <w:p>
            <w:pPr>
              <w:pStyle w:val="Normal"/>
              <w:keepNext w:val="true"/>
              <w:widowControl w:val="false"/>
              <w:pBdr/>
              <w:ind w:hanging="2"/>
              <w:jc w:val="center"/>
              <w:rPr>
                <w:color w:val="000000"/>
                <w:sz w:val="22"/>
                <w:szCs w:val="22"/>
              </w:rPr>
            </w:pPr>
            <w:r>
              <w:rPr>
                <w:color w:val="000000"/>
                <w:sz w:val="22"/>
                <w:szCs w:val="22"/>
              </w:rPr>
            </w:r>
          </w:p>
          <w:p>
            <w:pPr>
              <w:pStyle w:val="Normal"/>
              <w:keepNext w:val="true"/>
              <w:widowControl w:val="false"/>
              <w:pBdr/>
              <w:ind w:hanging="2"/>
              <w:jc w:val="center"/>
              <w:rPr>
                <w:color w:val="000000"/>
                <w:sz w:val="22"/>
                <w:szCs w:val="22"/>
              </w:rPr>
            </w:pPr>
            <w:r>
              <w:rPr>
                <w:color w:val="000000"/>
                <w:sz w:val="22"/>
                <w:szCs w:val="22"/>
              </w:rPr>
              <w:t>E-G</w:t>
            </w:r>
          </w:p>
        </w:tc>
        <w:tc>
          <w:tcPr>
            <w:tcW w:w="1925"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pBdr/>
              <w:ind w:hanging="2"/>
              <w:jc w:val="center"/>
              <w:rPr>
                <w:color w:val="000000"/>
                <w:sz w:val="22"/>
                <w:szCs w:val="22"/>
              </w:rPr>
            </w:pPr>
            <w:r>
              <w:rPr>
                <w:color w:val="000000"/>
                <w:sz w:val="22"/>
                <w:szCs w:val="22"/>
              </w:rPr>
            </w:r>
          </w:p>
          <w:p>
            <w:pPr>
              <w:pStyle w:val="Normal"/>
              <w:keepNext w:val="true"/>
              <w:widowControl w:val="false"/>
              <w:pBdr/>
              <w:ind w:hanging="2"/>
              <w:jc w:val="center"/>
              <w:rPr>
                <w:color w:val="000000"/>
                <w:sz w:val="22"/>
                <w:szCs w:val="22"/>
              </w:rPr>
            </w:pPr>
            <w:r>
              <w:rPr>
                <w:color w:val="000000"/>
                <w:sz w:val="22"/>
                <w:szCs w:val="22"/>
              </w:rPr>
            </w:r>
          </w:p>
          <w:p>
            <w:pPr>
              <w:pStyle w:val="Normal"/>
              <w:keepNext w:val="true"/>
              <w:widowControl w:val="false"/>
              <w:pBdr/>
              <w:ind w:hanging="2"/>
              <w:jc w:val="center"/>
              <w:rPr>
                <w:color w:val="000000"/>
                <w:sz w:val="22"/>
                <w:szCs w:val="22"/>
              </w:rPr>
            </w:pPr>
            <w:r>
              <w:rPr>
                <w:color w:val="000000"/>
                <w:sz w:val="22"/>
                <w:szCs w:val="22"/>
              </w:rPr>
              <w:t>D-E</w:t>
            </w:r>
          </w:p>
        </w:tc>
      </w:tr>
      <w:tr>
        <w:trPr/>
        <w:tc>
          <w:tcPr>
            <w:tcW w:w="6486" w:type="dxa"/>
            <w:tcBorders>
              <w:top w:val="single" w:sz="4" w:space="0" w:color="000000"/>
              <w:left w:val="single" w:sz="4" w:space="0" w:color="000000"/>
              <w:bottom w:val="single" w:sz="4" w:space="0" w:color="000000"/>
            </w:tcBorders>
          </w:tcPr>
          <w:p>
            <w:pPr>
              <w:pStyle w:val="Normal"/>
              <w:widowControl w:val="false"/>
              <w:numPr>
                <w:ilvl w:val="0"/>
                <w:numId w:val="6"/>
              </w:numPr>
              <w:pBdr/>
              <w:ind w:left="641" w:hanging="0"/>
              <w:jc w:val="both"/>
              <w:rPr>
                <w:color w:val="000000"/>
              </w:rPr>
            </w:pPr>
            <w:r>
              <w:rPr>
                <w:color w:val="000000"/>
              </w:rPr>
            </w:r>
          </w:p>
        </w:tc>
        <w:tc>
          <w:tcPr>
            <w:tcW w:w="1913" w:type="dxa"/>
            <w:tcBorders>
              <w:top w:val="single" w:sz="4" w:space="0" w:color="000000"/>
              <w:left w:val="single" w:sz="4" w:space="0" w:color="000000"/>
              <w:bottom w:val="single" w:sz="4" w:space="0" w:color="000000"/>
            </w:tcBorders>
          </w:tcPr>
          <w:p>
            <w:pPr>
              <w:pStyle w:val="Normal"/>
              <w:keepNext w:val="true"/>
              <w:widowControl w:val="false"/>
              <w:pBdr/>
              <w:ind w:hanging="2"/>
              <w:jc w:val="center"/>
              <w:rPr>
                <w:color w:val="000000"/>
                <w:sz w:val="22"/>
                <w:szCs w:val="22"/>
              </w:rPr>
            </w:pPr>
            <w:r>
              <w:rPr>
                <w:color w:val="000000"/>
                <w:sz w:val="22"/>
                <w:szCs w:val="22"/>
              </w:rPr>
            </w:r>
          </w:p>
        </w:tc>
        <w:tc>
          <w:tcPr>
            <w:tcW w:w="1925"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pBdr/>
              <w:ind w:hanging="2"/>
              <w:jc w:val="center"/>
              <w:rPr>
                <w:color w:val="000000"/>
                <w:sz w:val="22"/>
                <w:szCs w:val="22"/>
              </w:rPr>
            </w:pPr>
            <w:r>
              <w:rPr>
                <w:color w:val="000000"/>
                <w:sz w:val="22"/>
                <w:szCs w:val="22"/>
              </w:rPr>
            </w:r>
          </w:p>
        </w:tc>
      </w:tr>
      <w:tr>
        <w:trPr/>
        <w:tc>
          <w:tcPr>
            <w:tcW w:w="6486" w:type="dxa"/>
            <w:tcBorders>
              <w:top w:val="single" w:sz="4" w:space="0" w:color="000000"/>
              <w:left w:val="single" w:sz="4" w:space="0" w:color="000000"/>
              <w:bottom w:val="single" w:sz="4" w:space="0" w:color="000000"/>
            </w:tcBorders>
            <w:vAlign w:val="center"/>
          </w:tcPr>
          <w:p>
            <w:pPr>
              <w:pStyle w:val="Normal"/>
              <w:widowControl w:val="false"/>
              <w:jc w:val="both"/>
              <w:rPr>
                <w:color w:val="000000"/>
              </w:rPr>
            </w:pPr>
            <w:r>
              <w:rPr>
                <w:color w:val="000000"/>
              </w:rPr>
              <w:t>2 El alumno o alumna enviará información escrita seleccionando el medio más adecuado en función de la urgencia, coste y seguridad y teniendo en cuenta las técnicas 3R.</w:t>
            </w:r>
          </w:p>
          <w:p>
            <w:pPr>
              <w:pStyle w:val="Normal"/>
              <w:widowControl w:val="false"/>
              <w:numPr>
                <w:ilvl w:val="0"/>
                <w:numId w:val="6"/>
              </w:numPr>
              <w:pBdr/>
              <w:ind w:left="641" w:hanging="0"/>
              <w:jc w:val="both"/>
              <w:rPr>
                <w:color w:val="000000"/>
              </w:rPr>
            </w:pPr>
            <w:r>
              <w:rPr>
                <w:color w:val="000000"/>
              </w:rPr>
              <w:t>Al registrar o emitir correos electrónicos lo hará de forma eficaz e identificará y valorará la firma digital y procederá al mantenimiento y gestión del Gmail. Se respetará siempre la protección y seguridad de la información.</w:t>
            </w:r>
          </w:p>
        </w:tc>
        <w:tc>
          <w:tcPr>
            <w:tcW w:w="1913" w:type="dxa"/>
            <w:tcBorders>
              <w:top w:val="single" w:sz="4" w:space="0" w:color="000000"/>
              <w:left w:val="single" w:sz="4" w:space="0" w:color="000000"/>
              <w:bottom w:val="single" w:sz="4" w:space="0" w:color="000000"/>
            </w:tcBorders>
          </w:tcPr>
          <w:p>
            <w:pPr>
              <w:pStyle w:val="Normal"/>
              <w:keepNext w:val="true"/>
              <w:widowControl w:val="false"/>
              <w:pBdr/>
              <w:ind w:hanging="2"/>
              <w:jc w:val="center"/>
              <w:rPr>
                <w:color w:val="000000"/>
                <w:sz w:val="22"/>
                <w:szCs w:val="22"/>
              </w:rPr>
            </w:pPr>
            <w:r>
              <w:rPr>
                <w:color w:val="000000"/>
                <w:sz w:val="22"/>
                <w:szCs w:val="22"/>
              </w:rPr>
            </w:r>
          </w:p>
        </w:tc>
        <w:tc>
          <w:tcPr>
            <w:tcW w:w="1925"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pBdr/>
              <w:ind w:hanging="2"/>
              <w:jc w:val="center"/>
              <w:rPr>
                <w:color w:val="000000"/>
                <w:sz w:val="22"/>
                <w:szCs w:val="22"/>
              </w:rPr>
            </w:pPr>
            <w:r>
              <w:rPr>
                <w:color w:val="000000"/>
                <w:sz w:val="22"/>
                <w:szCs w:val="22"/>
              </w:rPr>
            </w:r>
          </w:p>
        </w:tc>
      </w:tr>
      <w:tr>
        <w:trPr/>
        <w:tc>
          <w:tcPr>
            <w:tcW w:w="6486" w:type="dxa"/>
            <w:tcBorders>
              <w:top w:val="single" w:sz="4" w:space="0" w:color="000000"/>
              <w:left w:val="single" w:sz="4" w:space="0" w:color="000000"/>
              <w:bottom w:val="single" w:sz="4" w:space="0" w:color="000000"/>
            </w:tcBorders>
          </w:tcPr>
          <w:p>
            <w:pPr>
              <w:pStyle w:val="Normal"/>
              <w:widowControl w:val="false"/>
              <w:jc w:val="both"/>
              <w:rPr>
                <w:color w:val="000000"/>
              </w:rPr>
            </w:pPr>
            <w:r>
              <w:rPr>
                <w:color w:val="000000"/>
              </w:rPr>
            </w:r>
          </w:p>
        </w:tc>
        <w:tc>
          <w:tcPr>
            <w:tcW w:w="1913" w:type="dxa"/>
            <w:tcBorders>
              <w:top w:val="single" w:sz="4" w:space="0" w:color="000000"/>
              <w:left w:val="single" w:sz="4" w:space="0" w:color="000000"/>
              <w:bottom w:val="single" w:sz="4" w:space="0" w:color="000000"/>
            </w:tcBorders>
          </w:tcPr>
          <w:p>
            <w:pPr>
              <w:pStyle w:val="Normal"/>
              <w:keepNext w:val="true"/>
              <w:widowControl w:val="false"/>
              <w:pBdr/>
              <w:ind w:hanging="2"/>
              <w:jc w:val="center"/>
              <w:rPr>
                <w:color w:val="000000"/>
                <w:sz w:val="22"/>
                <w:szCs w:val="22"/>
              </w:rPr>
            </w:pPr>
            <w:r>
              <w:rPr>
                <w:color w:val="000000"/>
                <w:sz w:val="22"/>
                <w:szCs w:val="22"/>
              </w:rPr>
            </w:r>
          </w:p>
        </w:tc>
        <w:tc>
          <w:tcPr>
            <w:tcW w:w="1925"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pBdr/>
              <w:ind w:hanging="2"/>
              <w:jc w:val="center"/>
              <w:rPr>
                <w:color w:val="000000"/>
                <w:sz w:val="22"/>
                <w:szCs w:val="22"/>
              </w:rPr>
            </w:pPr>
            <w:r>
              <w:rPr>
                <w:color w:val="000000"/>
                <w:sz w:val="22"/>
                <w:szCs w:val="22"/>
              </w:rPr>
            </w:r>
          </w:p>
        </w:tc>
      </w:tr>
      <w:tr>
        <w:trPr/>
        <w:tc>
          <w:tcPr>
            <w:tcW w:w="6486" w:type="dxa"/>
            <w:tcBorders>
              <w:top w:val="single" w:sz="4" w:space="0" w:color="000000"/>
              <w:left w:val="single" w:sz="4" w:space="0" w:color="000000"/>
              <w:bottom w:val="single" w:sz="4" w:space="0" w:color="000000"/>
            </w:tcBorders>
            <w:vAlign w:val="center"/>
          </w:tcPr>
          <w:p>
            <w:pPr>
              <w:pStyle w:val="Normal"/>
              <w:widowControl w:val="false"/>
              <w:jc w:val="both"/>
              <w:rPr>
                <w:color w:val="000000"/>
              </w:rPr>
            </w:pPr>
            <w:r>
              <w:rPr>
                <w:color w:val="000000"/>
              </w:rPr>
              <w:t>3El discente identificará los soportes de archivo y registro en la empresa, procediendo después a clasificar, registrar y archivar de forma correcta los documentos así como consultar teniendo en cuenta la conservación de la información y documentación. Respetará siempre los niveles de protección y seguridad y utilizará técnicas 3R.</w:t>
            </w:r>
          </w:p>
        </w:tc>
        <w:tc>
          <w:tcPr>
            <w:tcW w:w="1913" w:type="dxa"/>
            <w:tcBorders>
              <w:top w:val="single" w:sz="4" w:space="0" w:color="000000"/>
              <w:left w:val="single" w:sz="4" w:space="0" w:color="000000"/>
              <w:bottom w:val="single" w:sz="4" w:space="0" w:color="000000"/>
            </w:tcBorders>
          </w:tcPr>
          <w:p>
            <w:pPr>
              <w:pStyle w:val="Normal"/>
              <w:keepNext w:val="true"/>
              <w:widowControl w:val="false"/>
              <w:pBdr/>
              <w:ind w:hanging="2"/>
              <w:jc w:val="center"/>
              <w:rPr>
                <w:color w:val="000000"/>
                <w:sz w:val="22"/>
                <w:szCs w:val="22"/>
              </w:rPr>
            </w:pPr>
            <w:r>
              <w:rPr>
                <w:color w:val="000000"/>
                <w:sz w:val="22"/>
                <w:szCs w:val="22"/>
              </w:rPr>
            </w:r>
          </w:p>
        </w:tc>
        <w:tc>
          <w:tcPr>
            <w:tcW w:w="1925"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pBdr/>
              <w:ind w:hanging="2"/>
              <w:jc w:val="center"/>
              <w:rPr>
                <w:color w:val="000000"/>
                <w:sz w:val="22"/>
                <w:szCs w:val="22"/>
              </w:rPr>
            </w:pPr>
            <w:r>
              <w:rPr>
                <w:color w:val="000000"/>
                <w:sz w:val="22"/>
                <w:szCs w:val="22"/>
              </w:rPr>
            </w:r>
          </w:p>
        </w:tc>
      </w:tr>
      <w:tr>
        <w:trPr/>
        <w:tc>
          <w:tcPr>
            <w:tcW w:w="6486" w:type="dxa"/>
            <w:tcBorders>
              <w:top w:val="single" w:sz="4" w:space="0" w:color="000000"/>
              <w:left w:val="single" w:sz="4" w:space="0" w:color="000000"/>
              <w:bottom w:val="single" w:sz="4" w:space="0" w:color="000000"/>
            </w:tcBorders>
          </w:tcPr>
          <w:p>
            <w:pPr>
              <w:pStyle w:val="Normal"/>
              <w:widowControl w:val="false"/>
              <w:jc w:val="both"/>
              <w:rPr>
                <w:color w:val="000000"/>
              </w:rPr>
            </w:pPr>
            <w:r>
              <w:rPr>
                <w:color w:val="000000"/>
              </w:rPr>
            </w:r>
          </w:p>
        </w:tc>
        <w:tc>
          <w:tcPr>
            <w:tcW w:w="1913" w:type="dxa"/>
            <w:tcBorders>
              <w:top w:val="single" w:sz="4" w:space="0" w:color="000000"/>
              <w:left w:val="single" w:sz="4" w:space="0" w:color="000000"/>
              <w:bottom w:val="single" w:sz="4" w:space="0" w:color="000000"/>
            </w:tcBorders>
          </w:tcPr>
          <w:p>
            <w:pPr>
              <w:pStyle w:val="Normal"/>
              <w:keepNext w:val="true"/>
              <w:widowControl w:val="false"/>
              <w:pBdr/>
              <w:ind w:hanging="2"/>
              <w:jc w:val="center"/>
              <w:rPr>
                <w:color w:val="000000"/>
                <w:sz w:val="22"/>
                <w:szCs w:val="22"/>
              </w:rPr>
            </w:pPr>
            <w:r>
              <w:rPr>
                <w:color w:val="000000"/>
                <w:sz w:val="22"/>
                <w:szCs w:val="22"/>
              </w:rPr>
            </w:r>
          </w:p>
        </w:tc>
        <w:tc>
          <w:tcPr>
            <w:tcW w:w="1925"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pBdr/>
              <w:ind w:hanging="2"/>
              <w:jc w:val="center"/>
              <w:rPr>
                <w:color w:val="000000"/>
                <w:sz w:val="22"/>
                <w:szCs w:val="22"/>
              </w:rPr>
            </w:pPr>
            <w:r>
              <w:rPr>
                <w:color w:val="000000"/>
                <w:sz w:val="22"/>
                <w:szCs w:val="22"/>
              </w:rPr>
            </w:r>
          </w:p>
        </w:tc>
      </w:tr>
      <w:tr>
        <w:trPr/>
        <w:tc>
          <w:tcPr>
            <w:tcW w:w="6486" w:type="dxa"/>
            <w:tcBorders>
              <w:top w:val="single" w:sz="4" w:space="0" w:color="000000"/>
              <w:left w:val="single" w:sz="4" w:space="0" w:color="000000"/>
              <w:bottom w:val="single" w:sz="4" w:space="0" w:color="000000"/>
            </w:tcBorders>
          </w:tcPr>
          <w:p>
            <w:pPr>
              <w:pStyle w:val="Normal"/>
              <w:widowControl w:val="false"/>
              <w:jc w:val="both"/>
              <w:rPr>
                <w:color w:val="000000"/>
              </w:rPr>
            </w:pPr>
            <w:r>
              <w:rPr>
                <w:color w:val="000000"/>
              </w:rPr>
              <w:t>4El discente analizará las técnicas de mantenimiento del archivo de gestión de correspondencia después de haber realizado las tareas correspondientes a esta función por si puede aportar alguna mejora.</w:t>
            </w:r>
          </w:p>
        </w:tc>
        <w:tc>
          <w:tcPr>
            <w:tcW w:w="1913" w:type="dxa"/>
            <w:tcBorders>
              <w:top w:val="single" w:sz="4" w:space="0" w:color="000000"/>
              <w:left w:val="single" w:sz="4" w:space="0" w:color="000000"/>
              <w:bottom w:val="single" w:sz="4" w:space="0" w:color="000000"/>
            </w:tcBorders>
          </w:tcPr>
          <w:p>
            <w:pPr>
              <w:pStyle w:val="Normal"/>
              <w:keepNext w:val="true"/>
              <w:widowControl w:val="false"/>
              <w:pBdr/>
              <w:ind w:hanging="2"/>
              <w:jc w:val="center"/>
              <w:rPr>
                <w:color w:val="000000"/>
                <w:sz w:val="22"/>
                <w:szCs w:val="22"/>
              </w:rPr>
            </w:pPr>
            <w:r>
              <w:rPr>
                <w:color w:val="000000"/>
                <w:sz w:val="22"/>
                <w:szCs w:val="22"/>
              </w:rPr>
            </w:r>
          </w:p>
        </w:tc>
        <w:tc>
          <w:tcPr>
            <w:tcW w:w="1925"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pBdr/>
              <w:ind w:hanging="2"/>
              <w:jc w:val="center"/>
              <w:rPr>
                <w:color w:val="000000"/>
                <w:sz w:val="22"/>
                <w:szCs w:val="22"/>
              </w:rPr>
            </w:pPr>
            <w:r>
              <w:rPr>
                <w:color w:val="000000"/>
                <w:sz w:val="22"/>
                <w:szCs w:val="22"/>
              </w:rPr>
            </w:r>
          </w:p>
        </w:tc>
      </w:tr>
    </w:tbl>
    <w:p>
      <w:pPr>
        <w:pStyle w:val="Normal"/>
        <w:pBdr/>
        <w:tabs>
          <w:tab w:val="clear" w:pos="720"/>
          <w:tab w:val="right" w:pos="560" w:leader="none"/>
          <w:tab w:val="left" w:pos="680" w:leader="none"/>
        </w:tabs>
        <w:ind w:hanging="2"/>
        <w:jc w:val="both"/>
        <w:rPr>
          <w:color w:val="000000"/>
        </w:rPr>
      </w:pPr>
      <w:r>
        <w:rPr>
          <w:color w:val="000000"/>
        </w:rPr>
      </w:r>
    </w:p>
    <w:tbl>
      <w:tblPr>
        <w:tblStyle w:val="affffffff2"/>
        <w:tblW w:w="10286" w:type="dxa"/>
        <w:jc w:val="left"/>
        <w:tblInd w:w="-355" w:type="dxa"/>
        <w:tblLayout w:type="fixed"/>
        <w:tblCellMar>
          <w:top w:w="0" w:type="dxa"/>
          <w:left w:w="108" w:type="dxa"/>
          <w:bottom w:w="0" w:type="dxa"/>
          <w:right w:w="108" w:type="dxa"/>
        </w:tblCellMar>
        <w:tblLook w:val="0000" w:noHBand="0" w:noVBand="0" w:firstColumn="0" w:lastRow="0" w:lastColumn="0" w:firstRow="0"/>
      </w:tblPr>
      <w:tblGrid>
        <w:gridCol w:w="6170"/>
        <w:gridCol w:w="1984"/>
        <w:gridCol w:w="2132"/>
      </w:tblGrid>
      <w:tr>
        <w:trPr/>
        <w:tc>
          <w:tcPr>
            <w:tcW w:w="10286" w:type="dxa"/>
            <w:gridSpan w:val="3"/>
            <w:tcBorders>
              <w:top w:val="single" w:sz="4" w:space="0" w:color="000000"/>
              <w:left w:val="single" w:sz="4" w:space="0" w:color="000000"/>
              <w:bottom w:val="single" w:sz="4" w:space="0" w:color="000000"/>
              <w:right w:val="single" w:sz="4" w:space="0" w:color="000000"/>
            </w:tcBorders>
            <w:shd w:color="auto" w:fill="B3B3B3" w:val="clear"/>
          </w:tcPr>
          <w:p>
            <w:pPr>
              <w:pStyle w:val="Normal"/>
              <w:keepNext w:val="true"/>
              <w:widowControl w:val="false"/>
              <w:pBdr/>
              <w:ind w:hanging="2"/>
              <w:jc w:val="center"/>
              <w:rPr>
                <w:b/>
                <w:b/>
                <w:color w:val="000000"/>
              </w:rPr>
            </w:pPr>
            <w:r>
              <w:rPr>
                <w:b/>
                <w:color w:val="000000"/>
              </w:rPr>
              <w:t>CRITERIOS DE:</w:t>
            </w:r>
          </w:p>
        </w:tc>
      </w:tr>
      <w:tr>
        <w:trPr/>
        <w:tc>
          <w:tcPr>
            <w:tcW w:w="6170" w:type="dxa"/>
            <w:tcBorders>
              <w:top w:val="single" w:sz="4" w:space="0" w:color="000000"/>
              <w:left w:val="single" w:sz="4" w:space="0" w:color="000000"/>
              <w:bottom w:val="single" w:sz="4" w:space="0" w:color="000000"/>
            </w:tcBorders>
            <w:shd w:color="auto" w:fill="D9D9D9" w:val="clear"/>
          </w:tcPr>
          <w:p>
            <w:pPr>
              <w:pStyle w:val="Normal"/>
              <w:widowControl w:val="false"/>
              <w:pBdr/>
              <w:ind w:hanging="2"/>
              <w:jc w:val="center"/>
              <w:rPr>
                <w:b/>
                <w:b/>
                <w:color w:val="000000"/>
              </w:rPr>
            </w:pPr>
            <w:r>
              <w:rPr>
                <w:b/>
                <w:color w:val="000000"/>
              </w:rPr>
              <w:t>EVALUACIÓN</w:t>
            </w:r>
          </w:p>
        </w:tc>
        <w:tc>
          <w:tcPr>
            <w:tcW w:w="1984" w:type="dxa"/>
            <w:tcBorders>
              <w:top w:val="single" w:sz="4" w:space="0" w:color="000000"/>
              <w:left w:val="single" w:sz="4" w:space="0" w:color="000000"/>
              <w:bottom w:val="single" w:sz="4" w:space="0" w:color="000000"/>
            </w:tcBorders>
            <w:shd w:color="auto" w:fill="D9D9D9" w:val="clear"/>
          </w:tcPr>
          <w:p>
            <w:pPr>
              <w:pStyle w:val="Normal"/>
              <w:widowControl w:val="false"/>
              <w:pBdr/>
              <w:ind w:hanging="2"/>
              <w:jc w:val="center"/>
              <w:rPr>
                <w:b/>
                <w:b/>
                <w:color w:val="000000"/>
                <w:sz w:val="20"/>
                <w:szCs w:val="20"/>
              </w:rPr>
            </w:pPr>
            <w:r>
              <w:rPr>
                <w:b/>
                <w:color w:val="000000"/>
                <w:sz w:val="20"/>
                <w:szCs w:val="20"/>
              </w:rPr>
              <w:t>CALIFICACIÓN</w:t>
            </w:r>
          </w:p>
        </w:tc>
        <w:tc>
          <w:tcPr>
            <w:tcW w:w="2132" w:type="dxa"/>
            <w:tcBorders>
              <w:top w:val="single" w:sz="4" w:space="0" w:color="000000"/>
              <w:left w:val="single" w:sz="4" w:space="0" w:color="000000"/>
              <w:bottom w:val="single" w:sz="4" w:space="0" w:color="000000"/>
              <w:right w:val="single" w:sz="4" w:space="0" w:color="000000"/>
            </w:tcBorders>
            <w:shd w:color="auto" w:fill="D9D9D9" w:val="clear"/>
          </w:tcPr>
          <w:p>
            <w:pPr>
              <w:pStyle w:val="Normal"/>
              <w:widowControl w:val="false"/>
              <w:pBdr/>
              <w:ind w:hanging="2"/>
              <w:jc w:val="center"/>
              <w:rPr>
                <w:b/>
                <w:b/>
                <w:color w:val="000000"/>
                <w:sz w:val="20"/>
                <w:szCs w:val="20"/>
              </w:rPr>
            </w:pPr>
            <w:r>
              <w:rPr>
                <w:b/>
                <w:color w:val="000000"/>
                <w:sz w:val="20"/>
                <w:szCs w:val="20"/>
              </w:rPr>
              <w:t>RECUPERACIÓN</w:t>
            </w:r>
          </w:p>
        </w:tc>
      </w:tr>
      <w:tr>
        <w:trPr/>
        <w:tc>
          <w:tcPr>
            <w:tcW w:w="6170" w:type="dxa"/>
            <w:tcBorders>
              <w:top w:val="single" w:sz="4" w:space="0" w:color="000000"/>
              <w:left w:val="single" w:sz="4" w:space="0" w:color="000000"/>
              <w:bottom w:val="single" w:sz="4" w:space="0" w:color="000000"/>
            </w:tcBorders>
          </w:tcPr>
          <w:p>
            <w:pPr>
              <w:pStyle w:val="Normal"/>
              <w:widowControl w:val="false"/>
              <w:numPr>
                <w:ilvl w:val="0"/>
                <w:numId w:val="16"/>
              </w:numPr>
              <w:pBdr/>
              <w:ind w:left="0" w:hanging="2"/>
              <w:jc w:val="both"/>
              <w:rPr>
                <w:color w:val="000000"/>
                <w:sz w:val="22"/>
                <w:szCs w:val="22"/>
              </w:rPr>
            </w:pPr>
            <w:r>
              <w:rPr>
                <w:color w:val="000000"/>
                <w:sz w:val="22"/>
                <w:szCs w:val="22"/>
              </w:rPr>
              <w:t>A) Se han identificado los medios, procedimientos y criterios más adecuados en la recepción, registro, distribución y transmisión de comunicación escrita a través de los medios telemáticos.</w:t>
            </w:r>
          </w:p>
          <w:p>
            <w:pPr>
              <w:pStyle w:val="Normal"/>
              <w:widowControl w:val="false"/>
              <w:numPr>
                <w:ilvl w:val="0"/>
                <w:numId w:val="16"/>
              </w:numPr>
              <w:pBdr/>
              <w:ind w:left="0" w:hanging="2"/>
              <w:jc w:val="both"/>
              <w:rPr>
                <w:color w:val="000000"/>
                <w:sz w:val="22"/>
                <w:szCs w:val="22"/>
              </w:rPr>
            </w:pPr>
            <w:r>
              <w:rPr>
                <w:color w:val="000000"/>
                <w:sz w:val="22"/>
                <w:szCs w:val="22"/>
              </w:rPr>
              <w:t xml:space="preserve">B) Se han determinado las ventajas e inconvenientes de la utilización de los distintos medios de transmisión de la comunicación escrita. </w:t>
            </w:r>
            <w:r>
              <w:rPr>
                <w:b/>
                <w:color w:val="000000"/>
                <w:sz w:val="22"/>
                <w:szCs w:val="22"/>
              </w:rPr>
              <w:t>CENTRO</w:t>
            </w:r>
          </w:p>
          <w:p>
            <w:pPr>
              <w:pStyle w:val="Normal"/>
              <w:widowControl w:val="false"/>
              <w:numPr>
                <w:ilvl w:val="0"/>
                <w:numId w:val="16"/>
              </w:numPr>
              <w:pBdr/>
              <w:ind w:left="0" w:hanging="2"/>
              <w:jc w:val="both"/>
              <w:rPr>
                <w:color w:val="000000"/>
                <w:sz w:val="22"/>
                <w:szCs w:val="22"/>
              </w:rPr>
            </w:pPr>
            <w:r>
              <w:rPr>
                <w:color w:val="000000"/>
                <w:sz w:val="22"/>
                <w:szCs w:val="22"/>
              </w:rPr>
              <w:t>C) Se ha seleccionado el medio de transmisión más adecuado en función de los criterios de urgencia, coste y seguridad.</w:t>
            </w:r>
          </w:p>
          <w:p>
            <w:pPr>
              <w:pStyle w:val="Normal"/>
              <w:widowControl w:val="false"/>
              <w:numPr>
                <w:ilvl w:val="0"/>
                <w:numId w:val="16"/>
              </w:numPr>
              <w:pBdr/>
              <w:ind w:left="0" w:hanging="2"/>
              <w:jc w:val="both"/>
              <w:rPr>
                <w:color w:val="000000"/>
                <w:sz w:val="22"/>
                <w:szCs w:val="22"/>
              </w:rPr>
            </w:pPr>
            <w:r>
              <w:rPr>
                <w:color w:val="000000"/>
                <w:sz w:val="22"/>
                <w:szCs w:val="22"/>
              </w:rPr>
              <w:t>D) Se han identificado los soportes de archivo y registro más utilizados en función de las características de la información que se va a almacenar.</w:t>
            </w:r>
          </w:p>
          <w:p>
            <w:pPr>
              <w:pStyle w:val="Normal"/>
              <w:widowControl w:val="false"/>
              <w:numPr>
                <w:ilvl w:val="0"/>
                <w:numId w:val="16"/>
              </w:numPr>
              <w:pBdr/>
              <w:ind w:left="0" w:hanging="2"/>
              <w:jc w:val="both"/>
              <w:rPr>
                <w:color w:val="000000"/>
                <w:sz w:val="22"/>
                <w:szCs w:val="22"/>
              </w:rPr>
            </w:pPr>
            <w:r>
              <w:rPr>
                <w:color w:val="000000"/>
                <w:sz w:val="22"/>
                <w:szCs w:val="22"/>
              </w:rPr>
              <w:t>E) Se han analizado las técnicas de mantenimiento del archivo de gestión de correspondencia convencional.</w:t>
            </w:r>
          </w:p>
          <w:p>
            <w:pPr>
              <w:pStyle w:val="Normal"/>
              <w:widowControl w:val="false"/>
              <w:numPr>
                <w:ilvl w:val="0"/>
                <w:numId w:val="16"/>
              </w:numPr>
              <w:pBdr/>
              <w:ind w:left="0" w:hanging="2"/>
              <w:jc w:val="both"/>
              <w:rPr>
                <w:color w:val="000000"/>
                <w:sz w:val="22"/>
                <w:szCs w:val="22"/>
              </w:rPr>
            </w:pPr>
            <w:r>
              <w:rPr>
                <w:color w:val="000000"/>
                <w:sz w:val="22"/>
                <w:szCs w:val="22"/>
              </w:rPr>
              <w:t>F) Se ha determinado el sistema de clasificación, registro y archivo apropiado al tipo de documentos.</w:t>
            </w:r>
          </w:p>
          <w:p>
            <w:pPr>
              <w:pStyle w:val="Normal"/>
              <w:widowControl w:val="false"/>
              <w:numPr>
                <w:ilvl w:val="0"/>
                <w:numId w:val="16"/>
              </w:numPr>
              <w:pBdr/>
              <w:ind w:left="0" w:hanging="2"/>
              <w:jc w:val="both"/>
              <w:rPr>
                <w:color w:val="000000"/>
                <w:sz w:val="22"/>
                <w:szCs w:val="22"/>
              </w:rPr>
            </w:pPr>
            <w:r>
              <w:rPr>
                <w:color w:val="000000"/>
                <w:sz w:val="22"/>
                <w:szCs w:val="22"/>
              </w:rPr>
              <w:t>G) Se han reconocido los procedimientos de consulta y conservación de la información y documentación.</w:t>
            </w:r>
          </w:p>
          <w:p>
            <w:pPr>
              <w:pStyle w:val="Normal"/>
              <w:widowControl w:val="false"/>
              <w:numPr>
                <w:ilvl w:val="0"/>
                <w:numId w:val="16"/>
              </w:numPr>
              <w:pBdr/>
              <w:ind w:left="0" w:hanging="2"/>
              <w:jc w:val="both"/>
              <w:rPr>
                <w:color w:val="000000"/>
                <w:sz w:val="22"/>
                <w:szCs w:val="22"/>
              </w:rPr>
            </w:pPr>
            <w:r>
              <w:rPr>
                <w:color w:val="000000"/>
                <w:sz w:val="22"/>
                <w:szCs w:val="22"/>
              </w:rPr>
              <w:t>H) Se han respetado los niveles de protección, seguridad y acceso a la información según la normativa vigente y se han aplicado, en la elaboración y archivo de la documentación, las técnicas 3R (reducir, reutilizar, reciclar).</w:t>
            </w:r>
          </w:p>
          <w:p>
            <w:pPr>
              <w:pStyle w:val="Normal"/>
              <w:widowControl w:val="false"/>
              <w:numPr>
                <w:ilvl w:val="0"/>
                <w:numId w:val="16"/>
              </w:numPr>
              <w:pBdr/>
              <w:ind w:left="0" w:hanging="2"/>
              <w:jc w:val="both"/>
              <w:rPr>
                <w:color w:val="000000"/>
                <w:sz w:val="22"/>
                <w:szCs w:val="22"/>
              </w:rPr>
            </w:pPr>
            <w:r>
              <w:rPr>
                <w:color w:val="000000"/>
                <w:sz w:val="22"/>
                <w:szCs w:val="22"/>
              </w:rPr>
              <w:t>I) Se han registrado los correos electrónicos recibidos o emitidos de forma organizada y rigurosa, según técnicas de gestión eficaz.</w:t>
            </w:r>
          </w:p>
          <w:p>
            <w:pPr>
              <w:pStyle w:val="Normal"/>
              <w:widowControl w:val="false"/>
              <w:numPr>
                <w:ilvl w:val="0"/>
                <w:numId w:val="16"/>
              </w:numPr>
              <w:pBdr/>
              <w:ind w:left="0" w:hanging="2"/>
              <w:jc w:val="both"/>
              <w:rPr>
                <w:color w:val="000000"/>
                <w:sz w:val="22"/>
                <w:szCs w:val="22"/>
              </w:rPr>
            </w:pPr>
            <w:r>
              <w:rPr>
                <w:color w:val="000000"/>
                <w:sz w:val="22"/>
                <w:szCs w:val="22"/>
              </w:rPr>
              <w:t>J) Se ha realizado la gestión y mantenimiento de libretas de direcciones.</w:t>
            </w:r>
          </w:p>
          <w:p>
            <w:pPr>
              <w:pStyle w:val="Normal"/>
              <w:widowControl w:val="false"/>
              <w:numPr>
                <w:ilvl w:val="0"/>
                <w:numId w:val="16"/>
              </w:numPr>
              <w:ind w:left="0" w:hanging="2"/>
              <w:jc w:val="both"/>
              <w:rPr/>
            </w:pPr>
            <w:r>
              <w:rPr>
                <w:color w:val="000000"/>
                <w:sz w:val="22"/>
                <w:szCs w:val="22"/>
              </w:rPr>
              <w:t>K) Se ha valorado la importancia de la firma digital en la correspondencia electrónica.</w:t>
            </w:r>
          </w:p>
        </w:tc>
        <w:tc>
          <w:tcPr>
            <w:tcW w:w="1984" w:type="dxa"/>
            <w:tcBorders>
              <w:top w:val="single" w:sz="4" w:space="0" w:color="000000"/>
              <w:left w:val="single" w:sz="4" w:space="0" w:color="000000"/>
              <w:bottom w:val="single" w:sz="4" w:space="0" w:color="000000"/>
            </w:tcBorders>
          </w:tcPr>
          <w:p>
            <w:pPr>
              <w:pStyle w:val="Normal"/>
              <w:widowControl w:val="false"/>
              <w:ind w:hanging="2"/>
              <w:rPr>
                <w:sz w:val="22"/>
                <w:szCs w:val="22"/>
              </w:rPr>
            </w:pPr>
            <w:r>
              <w:rPr>
                <w:sz w:val="22"/>
                <w:szCs w:val="22"/>
              </w:rPr>
              <w:t>Según rúbricas</w:t>
            </w:r>
          </w:p>
        </w:tc>
        <w:tc>
          <w:tcPr>
            <w:tcW w:w="2132" w:type="dxa"/>
            <w:tcBorders>
              <w:top w:val="single" w:sz="4" w:space="0" w:color="000000"/>
              <w:left w:val="single" w:sz="4" w:space="0" w:color="000000"/>
              <w:bottom w:val="single" w:sz="4" w:space="0" w:color="000000"/>
              <w:right w:val="single" w:sz="4" w:space="0" w:color="000000"/>
            </w:tcBorders>
          </w:tcPr>
          <w:p>
            <w:pPr>
              <w:pStyle w:val="Normal"/>
              <w:widowControl w:val="false"/>
              <w:ind w:hanging="2"/>
              <w:rPr>
                <w:sz w:val="22"/>
                <w:szCs w:val="22"/>
              </w:rPr>
            </w:pPr>
            <w:bookmarkStart w:id="6" w:name="_heading=h.tyjcwt"/>
            <w:bookmarkEnd w:id="6"/>
            <w:r>
              <w:rPr>
                <w:sz w:val="22"/>
                <w:szCs w:val="22"/>
              </w:rPr>
              <w:t>En el periodo de junio</w:t>
            </w:r>
          </w:p>
        </w:tc>
      </w:tr>
    </w:tbl>
    <w:p>
      <w:pPr>
        <w:pStyle w:val="Normal"/>
        <w:ind w:left="2" w:hanging="4"/>
        <w:jc w:val="both"/>
        <w:rPr>
          <w:color w:val="000000"/>
          <w:sz w:val="40"/>
          <w:szCs w:val="40"/>
        </w:rPr>
      </w:pPr>
      <w:r>
        <w:rPr>
          <w:color w:val="000000"/>
          <w:sz w:val="40"/>
          <w:szCs w:val="40"/>
        </w:rPr>
      </w:r>
    </w:p>
    <w:p>
      <w:pPr>
        <w:sectPr>
          <w:headerReference w:type="default" r:id="rId9"/>
          <w:footerReference w:type="default" r:id="rId10"/>
          <w:footerReference w:type="first" r:id="rId11"/>
          <w:type w:val="nextPage"/>
          <w:pgSz w:w="11906" w:h="16838"/>
          <w:pgMar w:left="992" w:right="992" w:gutter="0" w:header="1134" w:top="1276" w:footer="567" w:bottom="1134"/>
          <w:pgNumType w:start="1" w:fmt="decimal"/>
          <w:formProt w:val="false"/>
          <w:titlePg/>
          <w:textDirection w:val="lrTb"/>
          <w:docGrid w:type="default" w:linePitch="100" w:charSpace="0"/>
        </w:sectPr>
        <w:pStyle w:val="Normal"/>
        <w:ind w:left="2" w:hanging="4"/>
        <w:jc w:val="both"/>
        <w:rPr>
          <w:color w:val="000000"/>
          <w:sz w:val="40"/>
          <w:szCs w:val="40"/>
        </w:rPr>
      </w:pPr>
      <w:r>
        <w:rPr>
          <w:color w:val="000000"/>
          <w:sz w:val="40"/>
          <w:szCs w:val="40"/>
        </w:rPr>
      </w:r>
    </w:p>
    <w:p>
      <w:pPr>
        <w:pStyle w:val="Normal"/>
        <w:ind w:left="2" w:hanging="4"/>
        <w:jc w:val="both"/>
        <w:rPr>
          <w:color w:val="000000"/>
        </w:rPr>
      </w:pPr>
      <w:r>
        <w:rPr>
          <w:color w:val="000000"/>
        </w:rPr>
        <w:t>Las actividades en formación en empresas  DUAL son:</w:t>
      </w:r>
    </w:p>
    <w:p>
      <w:pPr>
        <w:pStyle w:val="Normal"/>
        <w:ind w:left="2" w:hanging="4"/>
        <w:jc w:val="both"/>
        <w:rPr>
          <w:color w:val="000000"/>
        </w:rPr>
      </w:pPr>
      <w:r>
        <w:rPr>
          <w:color w:val="000000"/>
        </w:rPr>
      </w:r>
    </w:p>
    <w:tbl>
      <w:tblPr>
        <w:tblW w:w="14518" w:type="dxa"/>
        <w:jc w:val="left"/>
        <w:tblInd w:w="38" w:type="dxa"/>
        <w:tblLayout w:type="fixed"/>
        <w:tblCellMar>
          <w:top w:w="0" w:type="dxa"/>
          <w:left w:w="45" w:type="dxa"/>
          <w:bottom w:w="0" w:type="dxa"/>
          <w:right w:w="45" w:type="dxa"/>
        </w:tblCellMar>
        <w:tblLook w:val="04a0" w:noHBand="0" w:noVBand="1" w:firstColumn="1" w:lastRow="0" w:lastColumn="0" w:firstRow="1"/>
      </w:tblPr>
      <w:tblGrid>
        <w:gridCol w:w="6226"/>
        <w:gridCol w:w="559"/>
        <w:gridCol w:w="7733"/>
      </w:tblGrid>
      <w:tr>
        <w:trPr>
          <w:trHeight w:val="720" w:hRule="atLeast"/>
        </w:trPr>
        <w:tc>
          <w:tcPr>
            <w:tcW w:w="6226" w:type="dxa"/>
            <w:tcBorders>
              <w:top w:val="single" w:sz="6" w:space="0" w:color="000000"/>
              <w:left w:val="single" w:sz="6" w:space="0" w:color="000000"/>
              <w:bottom w:val="single" w:sz="6" w:space="0" w:color="000000"/>
              <w:right w:val="single" w:sz="6" w:space="0" w:color="000000"/>
            </w:tcBorders>
            <w:shd w:color="auto" w:fill="D9F2D0" w:val="clear"/>
            <w:vAlign w:val="center"/>
          </w:tcPr>
          <w:p>
            <w:pPr>
              <w:pStyle w:val="Normal"/>
              <w:widowControl w:val="false"/>
              <w:ind w:hanging="0"/>
              <w:rPr>
                <w:rFonts w:eastAsia="Times New Roman"/>
                <w:b/>
                <w:b/>
                <w:bCs/>
                <w:lang w:val="es-ES"/>
              </w:rPr>
            </w:pPr>
            <w:r>
              <w:rPr>
                <w:rFonts w:eastAsia="Times New Roman"/>
                <w:b/>
                <w:bCs/>
                <w:lang w:val="es-ES"/>
              </w:rPr>
              <w:t xml:space="preserve">R.A.4 Determina los procesos de recepción, registro, distribución y recuperación de comunicaciones escritas, aplicando criterios </w:t>
              <w:br/>
              <w:t>específicos de cada una de estas tareas.</w:t>
            </w:r>
          </w:p>
        </w:tc>
        <w:tc>
          <w:tcPr>
            <w:tcW w:w="559" w:type="dxa"/>
            <w:tcBorders>
              <w:top w:val="single" w:sz="6" w:space="0" w:color="000000"/>
              <w:left w:val="single" w:sz="6" w:space="0" w:color="CCCCCC"/>
              <w:bottom w:val="single" w:sz="6" w:space="0" w:color="000000"/>
              <w:right w:val="single" w:sz="6" w:space="0" w:color="000000"/>
            </w:tcBorders>
            <w:shd w:color="auto" w:fill="D9F2D0" w:val="clear"/>
            <w:vAlign w:val="center"/>
          </w:tcPr>
          <w:p>
            <w:pPr>
              <w:pStyle w:val="Normal"/>
              <w:widowControl w:val="false"/>
              <w:ind w:hanging="0"/>
              <w:jc w:val="center"/>
              <w:rPr>
                <w:rFonts w:eastAsia="Times New Roman"/>
                <w:b/>
                <w:b/>
                <w:bCs/>
                <w:lang w:val="es-ES"/>
              </w:rPr>
            </w:pPr>
            <w:r>
              <w:rPr>
                <w:rFonts w:eastAsia="Times New Roman"/>
                <w:b/>
                <w:bCs/>
                <w:lang w:val="es-ES"/>
              </w:rPr>
              <w:t>%</w:t>
            </w:r>
          </w:p>
        </w:tc>
        <w:tc>
          <w:tcPr>
            <w:tcW w:w="7733" w:type="dxa"/>
            <w:tcBorders>
              <w:top w:val="single" w:sz="6" w:space="0" w:color="000000"/>
              <w:left w:val="single" w:sz="6" w:space="0" w:color="CCCCCC"/>
              <w:bottom w:val="single" w:sz="6" w:space="0" w:color="000000"/>
              <w:right w:val="single" w:sz="6" w:space="0" w:color="000000"/>
            </w:tcBorders>
            <w:shd w:color="auto" w:fill="D9F2D0" w:val="clear"/>
            <w:vAlign w:val="center"/>
          </w:tcPr>
          <w:p>
            <w:pPr>
              <w:pStyle w:val="Normal"/>
              <w:widowControl w:val="false"/>
              <w:ind w:hanging="0"/>
              <w:jc w:val="center"/>
              <w:rPr>
                <w:rFonts w:eastAsia="Times New Roman"/>
                <w:b/>
                <w:b/>
                <w:bCs/>
                <w:lang w:val="es-ES"/>
              </w:rPr>
            </w:pPr>
            <w:r>
              <w:rPr>
                <w:rFonts w:eastAsia="Times New Roman"/>
                <w:b/>
                <w:bCs/>
                <w:lang w:val="es-ES"/>
              </w:rPr>
              <w:t>Actividad en empresa</w:t>
            </w:r>
          </w:p>
        </w:tc>
      </w:tr>
      <w:tr>
        <w:trPr>
          <w:trHeight w:val="1380" w:hRule="atLeast"/>
        </w:trPr>
        <w:tc>
          <w:tcPr>
            <w:tcW w:w="6226" w:type="dxa"/>
            <w:tcBorders>
              <w:top w:val="single" w:sz="6" w:space="0" w:color="CCCCCC"/>
              <w:left w:val="single" w:sz="6" w:space="0" w:color="CCCCCC"/>
              <w:bottom w:val="single" w:sz="6" w:space="0" w:color="000000"/>
              <w:right w:val="single" w:sz="6" w:space="0" w:color="000000"/>
            </w:tcBorders>
            <w:vAlign w:val="center"/>
          </w:tcPr>
          <w:p>
            <w:pPr>
              <w:pStyle w:val="Normal"/>
              <w:widowControl w:val="false"/>
              <w:ind w:hanging="0"/>
              <w:rPr>
                <w:rFonts w:eastAsia="Times New Roman"/>
                <w:lang w:val="es-ES"/>
              </w:rPr>
            </w:pPr>
            <w:r>
              <w:rPr>
                <w:rFonts w:eastAsia="Times New Roman"/>
                <w:lang w:val="es-ES"/>
              </w:rPr>
              <w:t>a) Se han identificado los medios, procedimientos y criterios más adecuados en la recepción, registro, distribución y transmisión de comunicación escrita a través de los medios telemáticos.</w:t>
            </w:r>
          </w:p>
        </w:tc>
        <w:tc>
          <w:tcPr>
            <w:tcW w:w="559" w:type="dxa"/>
            <w:tcBorders>
              <w:top w:val="single" w:sz="6" w:space="0" w:color="CCCCCC"/>
              <w:left w:val="single" w:sz="6" w:space="0" w:color="CCCCCC"/>
              <w:bottom w:val="single" w:sz="6" w:space="0" w:color="000000"/>
              <w:right w:val="single" w:sz="6" w:space="0" w:color="000000"/>
            </w:tcBorders>
            <w:vAlign w:val="center"/>
          </w:tcPr>
          <w:p>
            <w:pPr>
              <w:pStyle w:val="Normal"/>
              <w:widowControl w:val="false"/>
              <w:ind w:hanging="0"/>
              <w:jc w:val="center"/>
              <w:rPr>
                <w:rFonts w:eastAsia="Times New Roman"/>
                <w:b/>
                <w:b/>
                <w:bCs/>
                <w:lang w:val="es-ES"/>
              </w:rPr>
            </w:pPr>
            <w:r>
              <w:rPr>
                <w:rFonts w:eastAsia="Times New Roman"/>
                <w:b/>
                <w:bCs/>
                <w:lang w:val="es-ES"/>
              </w:rPr>
              <w:t>9.00</w:t>
            </w:r>
          </w:p>
        </w:tc>
        <w:tc>
          <w:tcPr>
            <w:tcW w:w="7733" w:type="dxa"/>
            <w:tcBorders>
              <w:top w:val="single" w:sz="6" w:space="0" w:color="CCCCCC"/>
              <w:left w:val="single" w:sz="6" w:space="0" w:color="CCCCCC"/>
              <w:bottom w:val="single" w:sz="6" w:space="0" w:color="000000"/>
              <w:right w:val="single" w:sz="6" w:space="0" w:color="000000"/>
            </w:tcBorders>
            <w:vAlign w:val="center"/>
          </w:tcPr>
          <w:p>
            <w:pPr>
              <w:pStyle w:val="Normal"/>
              <w:widowControl w:val="false"/>
              <w:ind w:hanging="0"/>
              <w:rPr>
                <w:rFonts w:eastAsia="Times New Roman"/>
                <w:lang w:val="es-ES"/>
              </w:rPr>
            </w:pPr>
            <w:r>
              <w:rPr>
                <w:rFonts w:eastAsia="Times New Roman"/>
                <w:lang w:val="es-ES"/>
              </w:rPr>
              <w:t>El discente identificará el procedimiento establecido en la empresa para recepción, registro y distribución de la comunicación escrita.</w:t>
            </w:r>
          </w:p>
        </w:tc>
      </w:tr>
      <w:tr>
        <w:trPr>
          <w:trHeight w:val="1620" w:hRule="atLeast"/>
        </w:trPr>
        <w:tc>
          <w:tcPr>
            <w:tcW w:w="6226" w:type="dxa"/>
            <w:tcBorders>
              <w:top w:val="single" w:sz="6" w:space="0" w:color="CCCCCC"/>
              <w:left w:val="single" w:sz="6" w:space="0" w:color="CCCCCC"/>
              <w:bottom w:val="single" w:sz="6" w:space="0" w:color="CCCCCC"/>
              <w:right w:val="single" w:sz="6" w:space="0" w:color="000000"/>
            </w:tcBorders>
            <w:vAlign w:val="center"/>
          </w:tcPr>
          <w:p>
            <w:pPr>
              <w:pStyle w:val="Normal"/>
              <w:widowControl w:val="false"/>
              <w:ind w:hanging="0"/>
              <w:rPr>
                <w:rFonts w:eastAsia="Times New Roman"/>
                <w:lang w:val="es-ES"/>
              </w:rPr>
            </w:pPr>
            <w:r>
              <w:rPr>
                <w:rFonts w:eastAsia="Times New Roman"/>
                <w:lang w:val="es-ES"/>
              </w:rPr>
              <w:t>c) Se ha seleccionado el medio de transmisión más adecuado en función de los criterios de urgencia, coste y seguridad.</w:t>
            </w:r>
          </w:p>
        </w:tc>
        <w:tc>
          <w:tcPr>
            <w:tcW w:w="559" w:type="dxa"/>
            <w:tcBorders>
              <w:top w:val="single" w:sz="6" w:space="0" w:color="CCCCCC"/>
              <w:left w:val="single" w:sz="6" w:space="0" w:color="CCCCCC"/>
              <w:bottom w:val="single" w:sz="6" w:space="0" w:color="000000"/>
              <w:right w:val="single" w:sz="6" w:space="0" w:color="000000"/>
            </w:tcBorders>
            <w:vAlign w:val="center"/>
          </w:tcPr>
          <w:p>
            <w:pPr>
              <w:pStyle w:val="Normal"/>
              <w:widowControl w:val="false"/>
              <w:ind w:hanging="0"/>
              <w:jc w:val="right"/>
              <w:rPr>
                <w:rFonts w:eastAsia="Times New Roman"/>
                <w:lang w:val="es-ES"/>
              </w:rPr>
            </w:pPr>
            <w:r>
              <w:rPr>
                <w:rFonts w:eastAsia="Times New Roman"/>
                <w:lang w:val="es-ES"/>
              </w:rPr>
              <w:t>9.00</w:t>
            </w:r>
          </w:p>
        </w:tc>
        <w:tc>
          <w:tcPr>
            <w:tcW w:w="7733" w:type="dxa"/>
            <w:vMerge w:val="restart"/>
            <w:tcBorders>
              <w:top w:val="single" w:sz="6" w:space="0" w:color="CCCCCC"/>
              <w:left w:val="single" w:sz="6" w:space="0" w:color="CCCCCC"/>
              <w:bottom w:val="single" w:sz="6" w:space="0" w:color="000000"/>
              <w:right w:val="single" w:sz="6" w:space="0" w:color="000000"/>
            </w:tcBorders>
            <w:vAlign w:val="center"/>
          </w:tcPr>
          <w:p>
            <w:pPr>
              <w:pStyle w:val="Normal"/>
              <w:widowControl w:val="false"/>
              <w:ind w:hanging="0"/>
              <w:rPr>
                <w:rFonts w:eastAsia="Times New Roman"/>
                <w:lang w:val="es-ES"/>
              </w:rPr>
            </w:pPr>
            <w:r>
              <w:rPr>
                <w:rFonts w:eastAsia="Times New Roman"/>
                <w:lang w:val="es-ES"/>
              </w:rPr>
              <w:t>El alumno o alumna enviará información escrita seleccionando el medio más adecuado en función de la urgencia, coste y seguridad y teniendo en cuenta las técnicas 3R.</w:t>
              <w:br/>
              <w:t>Al registrar o emitir correos electrónicos lo hará de forma eficaz e identificará y valorará la firma digital y procederá al mantenimiento y gestión del Gmail. Se respetará siempre la protección y seguridad de la información.</w:t>
            </w:r>
          </w:p>
        </w:tc>
      </w:tr>
      <w:tr>
        <w:trPr>
          <w:trHeight w:val="705" w:hRule="atLeast"/>
        </w:trPr>
        <w:tc>
          <w:tcPr>
            <w:tcW w:w="6226" w:type="dxa"/>
            <w:tcBorders>
              <w:top w:val="single" w:sz="6" w:space="0" w:color="CCCCCC"/>
              <w:left w:val="single" w:sz="6" w:space="0" w:color="CCCCCC"/>
              <w:bottom w:val="single" w:sz="6" w:space="0" w:color="CCCCCC"/>
              <w:right w:val="single" w:sz="6" w:space="0" w:color="000000"/>
            </w:tcBorders>
            <w:vAlign w:val="center"/>
          </w:tcPr>
          <w:p>
            <w:pPr>
              <w:pStyle w:val="Normal"/>
              <w:widowControl w:val="false"/>
              <w:ind w:hanging="0"/>
              <w:rPr>
                <w:rFonts w:eastAsia="Times New Roman"/>
                <w:lang w:val="es-ES"/>
              </w:rPr>
            </w:pPr>
            <w:r>
              <w:rPr>
                <w:rFonts w:eastAsia="Times New Roman"/>
                <w:lang w:val="es-ES"/>
              </w:rPr>
              <w:t>i) Se han registrado los correos electrónicos recibidos o emitidos de forma organizada y rigurosa, según técnicas de gestión eficaz.</w:t>
            </w:r>
          </w:p>
        </w:tc>
        <w:tc>
          <w:tcPr>
            <w:tcW w:w="559" w:type="dxa"/>
            <w:tcBorders>
              <w:top w:val="single" w:sz="6" w:space="0" w:color="CCCCCC"/>
              <w:left w:val="single" w:sz="6" w:space="0" w:color="CCCCCC"/>
              <w:bottom w:val="single" w:sz="6" w:space="0" w:color="000000"/>
              <w:right w:val="single" w:sz="6" w:space="0" w:color="000000"/>
            </w:tcBorders>
            <w:vAlign w:val="center"/>
          </w:tcPr>
          <w:p>
            <w:pPr>
              <w:pStyle w:val="Normal"/>
              <w:widowControl w:val="false"/>
              <w:ind w:hanging="0"/>
              <w:jc w:val="right"/>
              <w:rPr>
                <w:rFonts w:eastAsia="Times New Roman"/>
                <w:lang w:val="es-ES"/>
              </w:rPr>
            </w:pPr>
            <w:r>
              <w:rPr>
                <w:rFonts w:eastAsia="Times New Roman"/>
                <w:lang w:val="es-ES"/>
              </w:rPr>
              <w:t>9.00</w:t>
            </w:r>
          </w:p>
        </w:tc>
        <w:tc>
          <w:tcPr>
            <w:tcW w:w="7733" w:type="dxa"/>
            <w:vMerge w:val="continue"/>
            <w:tcBorders>
              <w:top w:val="single" w:sz="6" w:space="0" w:color="CCCCCC"/>
              <w:left w:val="single" w:sz="6" w:space="0" w:color="CCCCCC"/>
              <w:bottom w:val="single" w:sz="6" w:space="0" w:color="000000"/>
              <w:right w:val="single" w:sz="6" w:space="0" w:color="000000"/>
            </w:tcBorders>
            <w:tcMar>
              <w:left w:w="7" w:type="dxa"/>
              <w:right w:w="7" w:type="dxa"/>
            </w:tcMar>
            <w:vAlign w:val="center"/>
          </w:tcPr>
          <w:p>
            <w:pPr>
              <w:pStyle w:val="Normal"/>
              <w:widowControl w:val="false"/>
              <w:ind w:hanging="0"/>
              <w:rPr>
                <w:rFonts w:eastAsia="Times New Roman"/>
                <w:lang w:val="es-ES"/>
              </w:rPr>
            </w:pPr>
            <w:r>
              <w:rPr>
                <w:rFonts w:eastAsia="Times New Roman"/>
                <w:lang w:val="es-ES"/>
              </w:rPr>
            </w:r>
          </w:p>
        </w:tc>
      </w:tr>
      <w:tr>
        <w:trPr>
          <w:trHeight w:val="810" w:hRule="atLeast"/>
        </w:trPr>
        <w:tc>
          <w:tcPr>
            <w:tcW w:w="6226" w:type="dxa"/>
            <w:tcBorders>
              <w:top w:val="single" w:sz="6" w:space="0" w:color="CCCCCC"/>
              <w:left w:val="single" w:sz="6" w:space="0" w:color="CCCCCC"/>
              <w:bottom w:val="single" w:sz="6" w:space="0" w:color="CCCCCC"/>
              <w:right w:val="single" w:sz="6" w:space="0" w:color="000000"/>
            </w:tcBorders>
            <w:vAlign w:val="center"/>
          </w:tcPr>
          <w:p>
            <w:pPr>
              <w:pStyle w:val="Normal"/>
              <w:widowControl w:val="false"/>
              <w:ind w:hanging="0"/>
              <w:rPr>
                <w:rFonts w:eastAsia="Times New Roman"/>
                <w:lang w:val="es-ES"/>
              </w:rPr>
            </w:pPr>
            <w:r>
              <w:rPr>
                <w:rFonts w:eastAsia="Times New Roman"/>
                <w:lang w:val="es-ES"/>
              </w:rPr>
              <w:t>k) Se ha valorado la importancia de la firma digital en la correspondencia electrónica.</w:t>
            </w:r>
          </w:p>
        </w:tc>
        <w:tc>
          <w:tcPr>
            <w:tcW w:w="559" w:type="dxa"/>
            <w:tcBorders>
              <w:top w:val="single" w:sz="6" w:space="0" w:color="CCCCCC"/>
              <w:left w:val="single" w:sz="6" w:space="0" w:color="CCCCCC"/>
              <w:bottom w:val="single" w:sz="6" w:space="0" w:color="000000"/>
              <w:right w:val="single" w:sz="6" w:space="0" w:color="000000"/>
            </w:tcBorders>
            <w:vAlign w:val="center"/>
          </w:tcPr>
          <w:p>
            <w:pPr>
              <w:pStyle w:val="Normal"/>
              <w:widowControl w:val="false"/>
              <w:ind w:hanging="0"/>
              <w:jc w:val="right"/>
              <w:rPr>
                <w:rFonts w:eastAsia="Times New Roman"/>
                <w:lang w:val="es-ES"/>
              </w:rPr>
            </w:pPr>
            <w:r>
              <w:rPr>
                <w:rFonts w:eastAsia="Times New Roman"/>
                <w:lang w:val="es-ES"/>
              </w:rPr>
              <w:t>9,00</w:t>
            </w:r>
          </w:p>
        </w:tc>
        <w:tc>
          <w:tcPr>
            <w:tcW w:w="7733" w:type="dxa"/>
            <w:vMerge w:val="continue"/>
            <w:tcBorders>
              <w:top w:val="single" w:sz="6" w:space="0" w:color="CCCCCC"/>
              <w:left w:val="single" w:sz="6" w:space="0" w:color="CCCCCC"/>
              <w:bottom w:val="single" w:sz="6" w:space="0" w:color="000000"/>
              <w:right w:val="single" w:sz="6" w:space="0" w:color="000000"/>
            </w:tcBorders>
            <w:tcMar>
              <w:left w:w="7" w:type="dxa"/>
              <w:right w:w="7" w:type="dxa"/>
            </w:tcMar>
            <w:vAlign w:val="center"/>
          </w:tcPr>
          <w:p>
            <w:pPr>
              <w:pStyle w:val="Normal"/>
              <w:widowControl w:val="false"/>
              <w:ind w:hanging="0"/>
              <w:rPr>
                <w:rFonts w:eastAsia="Times New Roman"/>
                <w:lang w:val="es-ES"/>
              </w:rPr>
            </w:pPr>
            <w:r>
              <w:rPr>
                <w:rFonts w:eastAsia="Times New Roman"/>
                <w:lang w:val="es-ES"/>
              </w:rPr>
            </w:r>
          </w:p>
        </w:tc>
      </w:tr>
      <w:tr>
        <w:trPr>
          <w:trHeight w:val="765" w:hRule="atLeast"/>
        </w:trPr>
        <w:tc>
          <w:tcPr>
            <w:tcW w:w="6226" w:type="dxa"/>
            <w:tcBorders>
              <w:top w:val="single" w:sz="6" w:space="0" w:color="CCCCCC"/>
              <w:left w:val="single" w:sz="6" w:space="0" w:color="CCCCCC"/>
              <w:bottom w:val="single" w:sz="6" w:space="0" w:color="CCCCCC"/>
              <w:right w:val="single" w:sz="6" w:space="0" w:color="000000"/>
            </w:tcBorders>
            <w:vAlign w:val="center"/>
          </w:tcPr>
          <w:p>
            <w:pPr>
              <w:pStyle w:val="Normal"/>
              <w:widowControl w:val="false"/>
              <w:ind w:hanging="0"/>
              <w:rPr>
                <w:rFonts w:eastAsia="Times New Roman"/>
                <w:lang w:val="es-ES"/>
              </w:rPr>
            </w:pPr>
            <w:r>
              <w:rPr>
                <w:rFonts w:eastAsia="Times New Roman"/>
                <w:lang w:val="es-ES"/>
              </w:rPr>
              <w:t>j) Se ha realizado la gestión y mantenimiento de libretas de direcciones</w:t>
            </w:r>
          </w:p>
        </w:tc>
        <w:tc>
          <w:tcPr>
            <w:tcW w:w="559" w:type="dxa"/>
            <w:tcBorders>
              <w:top w:val="single" w:sz="6" w:space="0" w:color="CCCCCC"/>
              <w:left w:val="single" w:sz="6" w:space="0" w:color="CCCCCC"/>
              <w:bottom w:val="single" w:sz="6" w:space="0" w:color="000000"/>
              <w:right w:val="single" w:sz="6" w:space="0" w:color="000000"/>
            </w:tcBorders>
            <w:vAlign w:val="center"/>
          </w:tcPr>
          <w:p>
            <w:pPr>
              <w:pStyle w:val="Normal"/>
              <w:widowControl w:val="false"/>
              <w:ind w:hanging="0"/>
              <w:jc w:val="right"/>
              <w:rPr>
                <w:rFonts w:eastAsia="Times New Roman"/>
                <w:lang w:val="es-ES"/>
              </w:rPr>
            </w:pPr>
            <w:r>
              <w:rPr>
                <w:rFonts w:eastAsia="Times New Roman"/>
                <w:lang w:val="es-ES"/>
              </w:rPr>
              <w:t>9,00</w:t>
            </w:r>
          </w:p>
        </w:tc>
        <w:tc>
          <w:tcPr>
            <w:tcW w:w="7733" w:type="dxa"/>
            <w:vMerge w:val="continue"/>
            <w:tcBorders>
              <w:top w:val="single" w:sz="6" w:space="0" w:color="CCCCCC"/>
              <w:left w:val="single" w:sz="6" w:space="0" w:color="CCCCCC"/>
              <w:bottom w:val="single" w:sz="6" w:space="0" w:color="000000"/>
              <w:right w:val="single" w:sz="6" w:space="0" w:color="000000"/>
            </w:tcBorders>
            <w:tcMar>
              <w:left w:w="7" w:type="dxa"/>
              <w:right w:w="7" w:type="dxa"/>
            </w:tcMar>
            <w:vAlign w:val="center"/>
          </w:tcPr>
          <w:p>
            <w:pPr>
              <w:pStyle w:val="Normal"/>
              <w:widowControl w:val="false"/>
              <w:ind w:hanging="0"/>
              <w:rPr>
                <w:rFonts w:eastAsia="Times New Roman"/>
                <w:lang w:val="es-ES"/>
              </w:rPr>
            </w:pPr>
            <w:r>
              <w:rPr>
                <w:rFonts w:eastAsia="Times New Roman"/>
                <w:lang w:val="es-ES"/>
              </w:rPr>
            </w:r>
          </w:p>
        </w:tc>
      </w:tr>
      <w:tr>
        <w:trPr>
          <w:trHeight w:val="975" w:hRule="atLeast"/>
        </w:trPr>
        <w:tc>
          <w:tcPr>
            <w:tcW w:w="6226" w:type="dxa"/>
            <w:tcBorders>
              <w:top w:val="single" w:sz="6" w:space="0" w:color="CCCCCC"/>
              <w:left w:val="single" w:sz="6" w:space="0" w:color="CCCCCC"/>
              <w:bottom w:val="single" w:sz="6" w:space="0" w:color="CCCCCC"/>
              <w:right w:val="single" w:sz="6" w:space="0" w:color="000000"/>
            </w:tcBorders>
            <w:vAlign w:val="center"/>
          </w:tcPr>
          <w:p>
            <w:pPr>
              <w:pStyle w:val="Normal"/>
              <w:widowControl w:val="false"/>
              <w:ind w:hanging="0"/>
              <w:rPr>
                <w:rFonts w:eastAsia="Times New Roman"/>
                <w:lang w:val="es-ES"/>
              </w:rPr>
            </w:pPr>
            <w:r>
              <w:rPr>
                <w:rFonts w:eastAsia="Times New Roman"/>
                <w:lang w:val="es-ES"/>
              </w:rPr>
              <w:t>h) Se han respetado los niveles de protección, seguridad y acceso a la información según la normativa vigente y se han aplicado, en la elaboración y archivo de la documentación, las técnicas 3R (reducir, reutilizar, reciclar).</w:t>
            </w:r>
          </w:p>
        </w:tc>
        <w:tc>
          <w:tcPr>
            <w:tcW w:w="559" w:type="dxa"/>
            <w:tcBorders>
              <w:top w:val="single" w:sz="6" w:space="0" w:color="CCCCCC"/>
              <w:left w:val="single" w:sz="6" w:space="0" w:color="CCCCCC"/>
              <w:bottom w:val="single" w:sz="6" w:space="0" w:color="000000"/>
              <w:right w:val="single" w:sz="6" w:space="0" w:color="000000"/>
            </w:tcBorders>
            <w:vAlign w:val="center"/>
          </w:tcPr>
          <w:p>
            <w:pPr>
              <w:pStyle w:val="Normal"/>
              <w:widowControl w:val="false"/>
              <w:ind w:hanging="0"/>
              <w:jc w:val="right"/>
              <w:rPr>
                <w:rFonts w:eastAsia="Times New Roman"/>
                <w:lang w:val="es-ES"/>
              </w:rPr>
            </w:pPr>
            <w:r>
              <w:rPr>
                <w:rFonts w:eastAsia="Times New Roman"/>
                <w:lang w:val="es-ES"/>
              </w:rPr>
              <w:t>9,00</w:t>
            </w:r>
          </w:p>
        </w:tc>
        <w:tc>
          <w:tcPr>
            <w:tcW w:w="7733" w:type="dxa"/>
            <w:vMerge w:val="continue"/>
            <w:tcBorders>
              <w:top w:val="single" w:sz="6" w:space="0" w:color="CCCCCC"/>
              <w:left w:val="single" w:sz="6" w:space="0" w:color="CCCCCC"/>
              <w:bottom w:val="single" w:sz="6" w:space="0" w:color="000000"/>
              <w:right w:val="single" w:sz="6" w:space="0" w:color="000000"/>
            </w:tcBorders>
            <w:tcMar>
              <w:left w:w="7" w:type="dxa"/>
              <w:right w:w="7" w:type="dxa"/>
            </w:tcMar>
            <w:vAlign w:val="center"/>
          </w:tcPr>
          <w:p>
            <w:pPr>
              <w:pStyle w:val="Normal"/>
              <w:widowControl w:val="false"/>
              <w:ind w:hanging="0"/>
              <w:rPr>
                <w:rFonts w:eastAsia="Times New Roman"/>
                <w:lang w:val="es-ES"/>
              </w:rPr>
            </w:pPr>
            <w:r>
              <w:rPr>
                <w:rFonts w:eastAsia="Times New Roman"/>
                <w:lang w:val="es-ES"/>
              </w:rPr>
            </w:r>
          </w:p>
        </w:tc>
      </w:tr>
      <w:tr>
        <w:trPr>
          <w:trHeight w:val="1560" w:hRule="atLeast"/>
        </w:trPr>
        <w:tc>
          <w:tcPr>
            <w:tcW w:w="6226" w:type="dxa"/>
            <w:tcBorders>
              <w:top w:val="single" w:sz="6" w:space="0" w:color="CCCCCC"/>
              <w:left w:val="single" w:sz="6" w:space="0" w:color="CCCCCC"/>
              <w:bottom w:val="single" w:sz="6" w:space="0" w:color="CCCCCC"/>
              <w:right w:val="single" w:sz="6" w:space="0" w:color="000000"/>
            </w:tcBorders>
            <w:vAlign w:val="center"/>
          </w:tcPr>
          <w:p>
            <w:pPr>
              <w:pStyle w:val="Normal"/>
              <w:widowControl w:val="false"/>
              <w:ind w:hanging="0"/>
              <w:rPr>
                <w:rFonts w:eastAsia="Times New Roman"/>
                <w:lang w:val="es-ES"/>
              </w:rPr>
            </w:pPr>
            <w:r>
              <w:rPr>
                <w:rFonts w:eastAsia="Times New Roman"/>
                <w:lang w:val="es-ES"/>
              </w:rPr>
              <w:t>h) Se han respetado los niveles de protección, seguridad y acceso a la información según la normativa vigente y se han aplicado, en la elaboración y archivo de la documentación, las técnicas 3R (reducir, reutilizar, reciclar).</w:t>
            </w:r>
          </w:p>
        </w:tc>
        <w:tc>
          <w:tcPr>
            <w:tcW w:w="559" w:type="dxa"/>
            <w:tcBorders>
              <w:top w:val="single" w:sz="6" w:space="0" w:color="CCCCCC"/>
              <w:left w:val="single" w:sz="6" w:space="0" w:color="CCCCCC"/>
              <w:bottom w:val="single" w:sz="6" w:space="0" w:color="000000"/>
              <w:right w:val="single" w:sz="6" w:space="0" w:color="000000"/>
            </w:tcBorders>
            <w:vAlign w:val="center"/>
          </w:tcPr>
          <w:p>
            <w:pPr>
              <w:pStyle w:val="Normal"/>
              <w:widowControl w:val="false"/>
              <w:ind w:hanging="0"/>
              <w:rPr>
                <w:rFonts w:eastAsia="Times New Roman"/>
                <w:lang w:val="es-ES"/>
              </w:rPr>
            </w:pPr>
            <w:r>
              <w:rPr>
                <w:rFonts w:eastAsia="Times New Roman"/>
                <w:lang w:val="es-ES"/>
              </w:rPr>
            </w:r>
          </w:p>
        </w:tc>
        <w:tc>
          <w:tcPr>
            <w:tcW w:w="7733" w:type="dxa"/>
            <w:vMerge w:val="restart"/>
            <w:tcBorders>
              <w:top w:val="single" w:sz="6" w:space="0" w:color="CCCCCC"/>
              <w:left w:val="single" w:sz="6" w:space="0" w:color="CCCCCC"/>
              <w:bottom w:val="single" w:sz="6" w:space="0" w:color="000000"/>
              <w:right w:val="single" w:sz="6" w:space="0" w:color="000000"/>
            </w:tcBorders>
            <w:vAlign w:val="center"/>
          </w:tcPr>
          <w:p>
            <w:pPr>
              <w:pStyle w:val="Normal"/>
              <w:widowControl w:val="false"/>
              <w:ind w:hanging="0"/>
              <w:rPr>
                <w:rFonts w:eastAsia="Times New Roman"/>
                <w:lang w:val="es-ES"/>
              </w:rPr>
            </w:pPr>
            <w:r>
              <w:rPr>
                <w:rFonts w:eastAsia="Times New Roman"/>
                <w:lang w:val="es-ES"/>
              </w:rPr>
              <w:t>El discente identificará los soportes de archivo y registro en la empresa, procediendo después a clasificar, registrar y archivar de forma correcta los documentos así como consultar teniendo en cuenta la conservación de la información y documentación. Respetará siempre los niveles de protección y seguridad y utilizará técnicas 3R.</w:t>
            </w:r>
          </w:p>
        </w:tc>
      </w:tr>
      <w:tr>
        <w:trPr>
          <w:trHeight w:val="1170" w:hRule="atLeast"/>
        </w:trPr>
        <w:tc>
          <w:tcPr>
            <w:tcW w:w="6226" w:type="dxa"/>
            <w:tcBorders>
              <w:top w:val="single" w:sz="6" w:space="0" w:color="CCCCCC"/>
              <w:left w:val="single" w:sz="6" w:space="0" w:color="CCCCCC"/>
              <w:bottom w:val="single" w:sz="6" w:space="0" w:color="CCCCCC"/>
              <w:right w:val="single" w:sz="6" w:space="0" w:color="000000"/>
            </w:tcBorders>
            <w:vAlign w:val="center"/>
          </w:tcPr>
          <w:p>
            <w:pPr>
              <w:pStyle w:val="Normal"/>
              <w:widowControl w:val="false"/>
              <w:ind w:hanging="0"/>
              <w:rPr>
                <w:rFonts w:eastAsia="Times New Roman"/>
                <w:lang w:val="es-ES"/>
              </w:rPr>
            </w:pPr>
            <w:r>
              <w:rPr>
                <w:rFonts w:eastAsia="Times New Roman"/>
                <w:lang w:val="es-ES"/>
              </w:rPr>
              <w:t>d) Se han identificado los soportes de archivo y registro más utilizados en función de las características de la información que se va a almacenar.</w:t>
            </w:r>
          </w:p>
        </w:tc>
        <w:tc>
          <w:tcPr>
            <w:tcW w:w="559" w:type="dxa"/>
            <w:tcBorders>
              <w:top w:val="single" w:sz="6" w:space="0" w:color="CCCCCC"/>
              <w:left w:val="single" w:sz="6" w:space="0" w:color="CCCCCC"/>
              <w:bottom w:val="single" w:sz="6" w:space="0" w:color="000000"/>
              <w:right w:val="single" w:sz="6" w:space="0" w:color="000000"/>
            </w:tcBorders>
            <w:vAlign w:val="center"/>
          </w:tcPr>
          <w:p>
            <w:pPr>
              <w:pStyle w:val="Normal"/>
              <w:widowControl w:val="false"/>
              <w:ind w:hanging="0"/>
              <w:jc w:val="right"/>
              <w:rPr>
                <w:rFonts w:eastAsia="Times New Roman"/>
                <w:lang w:val="es-ES"/>
              </w:rPr>
            </w:pPr>
            <w:r>
              <w:rPr>
                <w:rFonts w:eastAsia="Times New Roman"/>
                <w:lang w:val="es-ES"/>
              </w:rPr>
              <w:t>9,00</w:t>
            </w:r>
          </w:p>
        </w:tc>
        <w:tc>
          <w:tcPr>
            <w:tcW w:w="7733" w:type="dxa"/>
            <w:vMerge w:val="continue"/>
            <w:tcBorders>
              <w:top w:val="single" w:sz="6" w:space="0" w:color="CCCCCC"/>
              <w:left w:val="single" w:sz="6" w:space="0" w:color="CCCCCC"/>
              <w:bottom w:val="single" w:sz="6" w:space="0" w:color="000000"/>
              <w:right w:val="single" w:sz="6" w:space="0" w:color="000000"/>
            </w:tcBorders>
            <w:tcMar>
              <w:left w:w="7" w:type="dxa"/>
              <w:right w:w="7" w:type="dxa"/>
            </w:tcMar>
            <w:vAlign w:val="center"/>
          </w:tcPr>
          <w:p>
            <w:pPr>
              <w:pStyle w:val="Normal"/>
              <w:widowControl w:val="false"/>
              <w:ind w:hanging="0"/>
              <w:rPr>
                <w:rFonts w:eastAsia="Times New Roman"/>
                <w:lang w:val="es-ES"/>
              </w:rPr>
            </w:pPr>
            <w:r>
              <w:rPr>
                <w:rFonts w:eastAsia="Times New Roman"/>
                <w:lang w:val="es-ES"/>
              </w:rPr>
            </w:r>
          </w:p>
        </w:tc>
      </w:tr>
      <w:tr>
        <w:trPr>
          <w:trHeight w:val="795" w:hRule="atLeast"/>
        </w:trPr>
        <w:tc>
          <w:tcPr>
            <w:tcW w:w="6226" w:type="dxa"/>
            <w:tcBorders>
              <w:top w:val="single" w:sz="6" w:space="0" w:color="CCCCCC"/>
              <w:left w:val="single" w:sz="6" w:space="0" w:color="CCCCCC"/>
              <w:bottom w:val="single" w:sz="6" w:space="0" w:color="CCCCCC"/>
              <w:right w:val="single" w:sz="6" w:space="0" w:color="000000"/>
            </w:tcBorders>
            <w:vAlign w:val="center"/>
          </w:tcPr>
          <w:p>
            <w:pPr>
              <w:pStyle w:val="Normal"/>
              <w:widowControl w:val="false"/>
              <w:ind w:hanging="0"/>
              <w:rPr>
                <w:rFonts w:eastAsia="Times New Roman"/>
                <w:lang w:val="es-ES"/>
              </w:rPr>
            </w:pPr>
            <w:r>
              <w:rPr>
                <w:rFonts w:eastAsia="Times New Roman"/>
                <w:lang w:val="es-ES"/>
              </w:rPr>
              <w:t>f) Se ha determinado el sistema de clasificación, registro y archivo apropiado al tipo de documentos.</w:t>
            </w:r>
          </w:p>
        </w:tc>
        <w:tc>
          <w:tcPr>
            <w:tcW w:w="559" w:type="dxa"/>
            <w:tcBorders>
              <w:top w:val="single" w:sz="6" w:space="0" w:color="CCCCCC"/>
              <w:left w:val="single" w:sz="6" w:space="0" w:color="CCCCCC"/>
              <w:bottom w:val="single" w:sz="6" w:space="0" w:color="000000"/>
              <w:right w:val="single" w:sz="6" w:space="0" w:color="000000"/>
            </w:tcBorders>
            <w:vAlign w:val="center"/>
          </w:tcPr>
          <w:p>
            <w:pPr>
              <w:pStyle w:val="Normal"/>
              <w:widowControl w:val="false"/>
              <w:ind w:hanging="0"/>
              <w:jc w:val="right"/>
              <w:rPr>
                <w:rFonts w:eastAsia="Times New Roman"/>
                <w:lang w:val="es-ES"/>
              </w:rPr>
            </w:pPr>
            <w:r>
              <w:rPr>
                <w:rFonts w:eastAsia="Times New Roman"/>
                <w:lang w:val="es-ES"/>
              </w:rPr>
              <w:t>9,00</w:t>
            </w:r>
          </w:p>
        </w:tc>
        <w:tc>
          <w:tcPr>
            <w:tcW w:w="7733" w:type="dxa"/>
            <w:vMerge w:val="continue"/>
            <w:tcBorders>
              <w:top w:val="single" w:sz="6" w:space="0" w:color="CCCCCC"/>
              <w:left w:val="single" w:sz="6" w:space="0" w:color="CCCCCC"/>
              <w:bottom w:val="single" w:sz="6" w:space="0" w:color="000000"/>
              <w:right w:val="single" w:sz="6" w:space="0" w:color="000000"/>
            </w:tcBorders>
            <w:tcMar>
              <w:left w:w="7" w:type="dxa"/>
              <w:right w:w="7" w:type="dxa"/>
            </w:tcMar>
            <w:vAlign w:val="center"/>
          </w:tcPr>
          <w:p>
            <w:pPr>
              <w:pStyle w:val="Normal"/>
              <w:widowControl w:val="false"/>
              <w:ind w:hanging="0"/>
              <w:rPr>
                <w:rFonts w:eastAsia="Times New Roman"/>
                <w:lang w:val="es-ES"/>
              </w:rPr>
            </w:pPr>
            <w:r>
              <w:rPr>
                <w:rFonts w:eastAsia="Times New Roman"/>
                <w:lang w:val="es-ES"/>
              </w:rPr>
            </w:r>
          </w:p>
        </w:tc>
      </w:tr>
      <w:tr>
        <w:trPr>
          <w:trHeight w:val="810" w:hRule="atLeast"/>
        </w:trPr>
        <w:tc>
          <w:tcPr>
            <w:tcW w:w="6226" w:type="dxa"/>
            <w:tcBorders>
              <w:top w:val="single" w:sz="6" w:space="0" w:color="CCCCCC"/>
              <w:left w:val="single" w:sz="6" w:space="0" w:color="CCCCCC"/>
              <w:bottom w:val="single" w:sz="6" w:space="0" w:color="CCCCCC"/>
              <w:right w:val="single" w:sz="6" w:space="0" w:color="000000"/>
            </w:tcBorders>
            <w:vAlign w:val="center"/>
          </w:tcPr>
          <w:p>
            <w:pPr>
              <w:pStyle w:val="Normal"/>
              <w:widowControl w:val="false"/>
              <w:ind w:hanging="0"/>
              <w:rPr>
                <w:rFonts w:eastAsia="Times New Roman"/>
                <w:lang w:val="es-ES"/>
              </w:rPr>
            </w:pPr>
            <w:r>
              <w:rPr>
                <w:rFonts w:eastAsia="Times New Roman"/>
                <w:lang w:val="es-ES"/>
              </w:rPr>
              <w:t>g) Se han reconocido los procedimientos de consulta y conservación de la información y documentación.</w:t>
            </w:r>
          </w:p>
        </w:tc>
        <w:tc>
          <w:tcPr>
            <w:tcW w:w="559" w:type="dxa"/>
            <w:tcBorders>
              <w:top w:val="single" w:sz="6" w:space="0" w:color="CCCCCC"/>
              <w:left w:val="single" w:sz="6" w:space="0" w:color="CCCCCC"/>
              <w:bottom w:val="single" w:sz="6" w:space="0" w:color="000000"/>
              <w:right w:val="single" w:sz="6" w:space="0" w:color="000000"/>
            </w:tcBorders>
            <w:vAlign w:val="center"/>
          </w:tcPr>
          <w:p>
            <w:pPr>
              <w:pStyle w:val="Normal"/>
              <w:widowControl w:val="false"/>
              <w:ind w:hanging="0"/>
              <w:jc w:val="right"/>
              <w:rPr>
                <w:rFonts w:eastAsia="Times New Roman"/>
                <w:lang w:val="es-ES"/>
              </w:rPr>
            </w:pPr>
            <w:r>
              <w:rPr>
                <w:rFonts w:eastAsia="Times New Roman"/>
                <w:lang w:val="es-ES"/>
              </w:rPr>
              <w:t>9,00</w:t>
            </w:r>
          </w:p>
        </w:tc>
        <w:tc>
          <w:tcPr>
            <w:tcW w:w="7733" w:type="dxa"/>
            <w:vMerge w:val="continue"/>
            <w:tcBorders>
              <w:top w:val="single" w:sz="6" w:space="0" w:color="CCCCCC"/>
              <w:left w:val="single" w:sz="6" w:space="0" w:color="CCCCCC"/>
              <w:bottom w:val="single" w:sz="6" w:space="0" w:color="000000"/>
              <w:right w:val="single" w:sz="6" w:space="0" w:color="000000"/>
            </w:tcBorders>
            <w:tcMar>
              <w:left w:w="7" w:type="dxa"/>
              <w:right w:w="7" w:type="dxa"/>
            </w:tcMar>
            <w:vAlign w:val="center"/>
          </w:tcPr>
          <w:p>
            <w:pPr>
              <w:pStyle w:val="Normal"/>
              <w:widowControl w:val="false"/>
              <w:ind w:hanging="0"/>
              <w:rPr>
                <w:rFonts w:eastAsia="Times New Roman"/>
                <w:lang w:val="es-ES"/>
              </w:rPr>
            </w:pPr>
            <w:r>
              <w:rPr>
                <w:rFonts w:eastAsia="Times New Roman"/>
                <w:lang w:val="es-ES"/>
              </w:rPr>
            </w:r>
          </w:p>
        </w:tc>
      </w:tr>
      <w:tr>
        <w:trPr>
          <w:trHeight w:val="1650" w:hRule="atLeast"/>
        </w:trPr>
        <w:tc>
          <w:tcPr>
            <w:tcW w:w="6226" w:type="dxa"/>
            <w:tcBorders>
              <w:top w:val="single" w:sz="6" w:space="0" w:color="CCCCCC"/>
              <w:left w:val="single" w:sz="6" w:space="0" w:color="CCCCCC"/>
              <w:bottom w:val="single" w:sz="6" w:space="0" w:color="000000"/>
              <w:right w:val="single" w:sz="6" w:space="0" w:color="000000"/>
            </w:tcBorders>
            <w:vAlign w:val="bottom"/>
          </w:tcPr>
          <w:p>
            <w:pPr>
              <w:pStyle w:val="Normal"/>
              <w:widowControl w:val="false"/>
              <w:ind w:hanging="0"/>
              <w:rPr>
                <w:rFonts w:eastAsia="Times New Roman"/>
                <w:lang w:val="es-ES"/>
              </w:rPr>
            </w:pPr>
            <w:r>
              <w:rPr>
                <w:rFonts w:eastAsia="Times New Roman"/>
                <w:lang w:val="es-ES"/>
              </w:rPr>
              <w:t>e) Se han analizado las técnicas de mantenimiento del archivo de gestión de correspondencia convencional</w:t>
            </w:r>
          </w:p>
        </w:tc>
        <w:tc>
          <w:tcPr>
            <w:tcW w:w="559" w:type="dxa"/>
            <w:tcBorders>
              <w:top w:val="single" w:sz="6" w:space="0" w:color="CCCCCC"/>
              <w:left w:val="single" w:sz="6" w:space="0" w:color="CCCCCC"/>
              <w:bottom w:val="single" w:sz="6" w:space="0" w:color="000000"/>
              <w:right w:val="single" w:sz="6" w:space="0" w:color="000000"/>
            </w:tcBorders>
            <w:vAlign w:val="center"/>
          </w:tcPr>
          <w:p>
            <w:pPr>
              <w:pStyle w:val="Normal"/>
              <w:widowControl w:val="false"/>
              <w:ind w:hanging="0"/>
              <w:jc w:val="right"/>
              <w:rPr>
                <w:rFonts w:eastAsia="Times New Roman"/>
                <w:lang w:val="es-ES"/>
              </w:rPr>
            </w:pPr>
            <w:r>
              <w:rPr>
                <w:rFonts w:eastAsia="Times New Roman"/>
                <w:lang w:val="es-ES"/>
              </w:rPr>
              <w:t>9,00</w:t>
            </w:r>
          </w:p>
        </w:tc>
        <w:tc>
          <w:tcPr>
            <w:tcW w:w="7733" w:type="dxa"/>
            <w:tcBorders>
              <w:top w:val="single" w:sz="6" w:space="0" w:color="CCCCCC"/>
              <w:left w:val="single" w:sz="6" w:space="0" w:color="CCCCCC"/>
              <w:bottom w:val="single" w:sz="6" w:space="0" w:color="000000"/>
              <w:right w:val="single" w:sz="6" w:space="0" w:color="000000"/>
            </w:tcBorders>
            <w:vAlign w:val="center"/>
          </w:tcPr>
          <w:p>
            <w:pPr>
              <w:pStyle w:val="Normal"/>
              <w:widowControl w:val="false"/>
              <w:ind w:hanging="0"/>
              <w:rPr>
                <w:rFonts w:eastAsia="Times New Roman"/>
                <w:lang w:val="es-ES"/>
              </w:rPr>
            </w:pPr>
            <w:r>
              <w:rPr>
                <w:rFonts w:eastAsia="Times New Roman"/>
                <w:lang w:val="es-ES"/>
              </w:rPr>
              <w:t>El discente analizará las técnicas de mantenimiento del archivo de gestión de correspondencia después de haber realizado las tareas correspondientes a esta función por si puede aportar alguna mejora.</w:t>
            </w:r>
          </w:p>
        </w:tc>
      </w:tr>
    </w:tbl>
    <w:p>
      <w:pPr>
        <w:pStyle w:val="Normal"/>
        <w:ind w:left="2" w:hanging="4"/>
        <w:jc w:val="both"/>
        <w:rPr>
          <w:color w:val="000000"/>
        </w:rPr>
      </w:pPr>
      <w:r>
        <w:rPr>
          <w:color w:val="000000"/>
        </w:rPr>
      </w:r>
    </w:p>
    <w:p>
      <w:pPr>
        <w:pStyle w:val="Normal"/>
        <w:ind w:left="2" w:hanging="4"/>
        <w:jc w:val="both"/>
        <w:rPr>
          <w:color w:val="000000"/>
        </w:rPr>
      </w:pPr>
      <w:r>
        <w:rPr>
          <w:color w:val="000000"/>
        </w:rPr>
      </w:r>
    </w:p>
    <w:p>
      <w:pPr>
        <w:pStyle w:val="Normal"/>
        <w:ind w:left="2" w:hanging="4"/>
        <w:jc w:val="both"/>
        <w:rPr>
          <w:color w:val="000000"/>
        </w:rPr>
      </w:pPr>
      <w:r>
        <w:rPr>
          <w:color w:val="000000"/>
        </w:rPr>
      </w:r>
    </w:p>
    <w:p>
      <w:pPr>
        <w:pStyle w:val="Normal"/>
        <w:ind w:left="2" w:hanging="4"/>
        <w:jc w:val="both"/>
        <w:rPr>
          <w:color w:val="000000"/>
        </w:rPr>
      </w:pPr>
      <w:r>
        <w:rPr>
          <w:color w:val="000000"/>
        </w:rPr>
      </w:r>
    </w:p>
    <w:p>
      <w:pPr>
        <w:pStyle w:val="Normal"/>
        <w:ind w:left="2" w:hanging="4"/>
        <w:jc w:val="both"/>
        <w:rPr>
          <w:color w:val="000000"/>
        </w:rPr>
      </w:pPr>
      <w:r>
        <w:rPr>
          <w:color w:val="000000"/>
        </w:rPr>
      </w:r>
    </w:p>
    <w:p>
      <w:pPr>
        <w:pStyle w:val="Normal"/>
        <w:ind w:left="2" w:hanging="4"/>
        <w:jc w:val="both"/>
        <w:rPr>
          <w:color w:val="000000"/>
        </w:rPr>
      </w:pPr>
      <w:r>
        <w:rPr>
          <w:color w:val="000000"/>
        </w:rPr>
      </w:r>
    </w:p>
    <w:p>
      <w:pPr>
        <w:pStyle w:val="Normal"/>
        <w:ind w:left="2" w:hanging="4"/>
        <w:jc w:val="both"/>
        <w:rPr>
          <w:color w:val="000000"/>
        </w:rPr>
      </w:pPr>
      <w:r>
        <w:rPr>
          <w:color w:val="000000"/>
        </w:rPr>
      </w:r>
    </w:p>
    <w:tbl>
      <w:tblPr>
        <w:tblW w:w="14518" w:type="dxa"/>
        <w:jc w:val="left"/>
        <w:tblInd w:w="38" w:type="dxa"/>
        <w:tblLayout w:type="fixed"/>
        <w:tblCellMar>
          <w:top w:w="0" w:type="dxa"/>
          <w:left w:w="45" w:type="dxa"/>
          <w:bottom w:w="0" w:type="dxa"/>
          <w:right w:w="45" w:type="dxa"/>
        </w:tblCellMar>
        <w:tblLook w:val="04a0" w:noHBand="0" w:noVBand="1" w:firstColumn="1" w:lastRow="0" w:lastColumn="0" w:firstRow="1"/>
      </w:tblPr>
      <w:tblGrid>
        <w:gridCol w:w="7013"/>
        <w:gridCol w:w="140"/>
        <w:gridCol w:w="691"/>
        <w:gridCol w:w="6673"/>
      </w:tblGrid>
      <w:tr>
        <w:trPr>
          <w:trHeight w:val="720" w:hRule="atLeast"/>
        </w:trPr>
        <w:tc>
          <w:tcPr>
            <w:tcW w:w="7153" w:type="dxa"/>
            <w:gridSpan w:val="2"/>
            <w:tcBorders>
              <w:top w:val="single" w:sz="6" w:space="0" w:color="000000"/>
              <w:left w:val="single" w:sz="6" w:space="0" w:color="000000"/>
              <w:bottom w:val="single" w:sz="6" w:space="0" w:color="000000"/>
              <w:right w:val="single" w:sz="6" w:space="0" w:color="000000"/>
            </w:tcBorders>
            <w:shd w:color="auto" w:fill="D9F2D0" w:val="clear"/>
            <w:vAlign w:val="center"/>
          </w:tcPr>
          <w:p>
            <w:pPr>
              <w:pStyle w:val="Normal"/>
              <w:widowControl w:val="false"/>
              <w:ind w:hanging="0"/>
              <w:rPr>
                <w:rFonts w:eastAsia="Times New Roman"/>
                <w:b/>
                <w:b/>
                <w:bCs/>
                <w:sz w:val="22"/>
                <w:szCs w:val="22"/>
                <w:lang w:val="es-ES"/>
              </w:rPr>
            </w:pPr>
            <w:r>
              <w:rPr>
                <w:rFonts w:eastAsia="Times New Roman"/>
                <w:b/>
                <w:bCs/>
                <w:sz w:val="22"/>
                <w:szCs w:val="22"/>
                <w:lang w:val="es-ES"/>
              </w:rPr>
              <w:t>R.A.5 Aplica técnicas de comunicación, identificando las más adecuadas en la relación y atención a los clientes/usuarios</w:t>
            </w:r>
          </w:p>
        </w:tc>
        <w:tc>
          <w:tcPr>
            <w:tcW w:w="691" w:type="dxa"/>
            <w:tcBorders>
              <w:top w:val="single" w:sz="6" w:space="0" w:color="000000"/>
              <w:left w:val="single" w:sz="6" w:space="0" w:color="CCCCCC"/>
              <w:bottom w:val="single" w:sz="6" w:space="0" w:color="000000"/>
              <w:right w:val="single" w:sz="6" w:space="0" w:color="000000"/>
            </w:tcBorders>
            <w:shd w:color="auto" w:fill="D9F2D0" w:val="clear"/>
            <w:vAlign w:val="center"/>
          </w:tcPr>
          <w:p>
            <w:pPr>
              <w:pStyle w:val="Normal"/>
              <w:widowControl w:val="false"/>
              <w:ind w:hanging="0"/>
              <w:jc w:val="center"/>
              <w:rPr>
                <w:rFonts w:ascii="Aptos Narrow" w:hAnsi="Aptos Narrow" w:eastAsia="Times New Roman" w:cs="Times New Roman"/>
                <w:b/>
                <w:b/>
                <w:bCs/>
                <w:sz w:val="28"/>
                <w:szCs w:val="28"/>
                <w:lang w:val="es-ES"/>
              </w:rPr>
            </w:pPr>
            <w:r>
              <w:rPr>
                <w:rFonts w:eastAsia="Times New Roman" w:cs="Times New Roman" w:ascii="Aptos Narrow" w:hAnsi="Aptos Narrow"/>
                <w:b/>
                <w:bCs/>
                <w:sz w:val="28"/>
                <w:szCs w:val="28"/>
                <w:lang w:val="es-ES"/>
              </w:rPr>
              <w:t>%</w:t>
            </w:r>
          </w:p>
        </w:tc>
        <w:tc>
          <w:tcPr>
            <w:tcW w:w="6673" w:type="dxa"/>
            <w:tcBorders>
              <w:top w:val="single" w:sz="6" w:space="0" w:color="000000"/>
              <w:left w:val="single" w:sz="6" w:space="0" w:color="CCCCCC"/>
              <w:bottom w:val="single" w:sz="6" w:space="0" w:color="000000"/>
              <w:right w:val="single" w:sz="6" w:space="0" w:color="000000"/>
            </w:tcBorders>
            <w:shd w:color="auto" w:fill="D9F2D0" w:val="clear"/>
            <w:vAlign w:val="center"/>
          </w:tcPr>
          <w:p>
            <w:pPr>
              <w:pStyle w:val="Normal"/>
              <w:widowControl w:val="false"/>
              <w:ind w:hanging="0"/>
              <w:jc w:val="center"/>
              <w:rPr>
                <w:rFonts w:ascii="Aptos Narrow" w:hAnsi="Aptos Narrow" w:eastAsia="Times New Roman" w:cs="Times New Roman"/>
                <w:b/>
                <w:b/>
                <w:bCs/>
                <w:sz w:val="22"/>
                <w:szCs w:val="22"/>
                <w:lang w:val="es-ES"/>
              </w:rPr>
            </w:pPr>
            <w:r>
              <w:rPr>
                <w:rFonts w:eastAsia="Times New Roman" w:cs="Times New Roman" w:ascii="Aptos Narrow" w:hAnsi="Aptos Narrow"/>
                <w:b/>
                <w:bCs/>
                <w:sz w:val="22"/>
                <w:szCs w:val="22"/>
                <w:lang w:val="es-ES"/>
              </w:rPr>
              <w:t>Actividad en empresa</w:t>
            </w:r>
          </w:p>
        </w:tc>
      </w:tr>
      <w:tr>
        <w:trPr>
          <w:trHeight w:val="1380" w:hRule="atLeast"/>
        </w:trPr>
        <w:tc>
          <w:tcPr>
            <w:tcW w:w="7013" w:type="dxa"/>
            <w:tcBorders>
              <w:top w:val="single" w:sz="6" w:space="0" w:color="CCCCCC"/>
              <w:left w:val="single" w:sz="6" w:space="0" w:color="000000"/>
              <w:bottom w:val="single" w:sz="6" w:space="0" w:color="000000"/>
              <w:right w:val="single" w:sz="6" w:space="0" w:color="CCCCCC"/>
            </w:tcBorders>
            <w:tcMar>
              <w:left w:w="7" w:type="dxa"/>
              <w:right w:w="7" w:type="dxa"/>
            </w:tcMar>
            <w:vAlign w:val="bottom"/>
          </w:tcPr>
          <w:p>
            <w:pPr>
              <w:pStyle w:val="Normal"/>
              <w:widowControl w:val="false"/>
              <w:ind w:hanging="0"/>
              <w:rPr>
                <w:rFonts w:eastAsia="Times New Roman"/>
                <w:lang w:val="es-ES"/>
              </w:rPr>
            </w:pPr>
            <w:r>
              <w:rPr>
                <w:rFonts w:eastAsia="Times New Roman"/>
                <w:lang w:val="es-ES"/>
              </w:rPr>
              <w:t>e) Se ha obtenido, en su caso, la información histórica del cliente.</w:t>
            </w:r>
          </w:p>
        </w:tc>
        <w:tc>
          <w:tcPr>
            <w:tcW w:w="140" w:type="dxa"/>
            <w:tcBorders>
              <w:top w:val="single" w:sz="6" w:space="0" w:color="CCCCCC"/>
              <w:left w:val="single" w:sz="6" w:space="0" w:color="CCCCCC"/>
              <w:bottom w:val="single" w:sz="6" w:space="0" w:color="000000"/>
              <w:right w:val="single" w:sz="6" w:space="0" w:color="000000"/>
            </w:tcBorders>
            <w:vAlign w:val="center"/>
          </w:tcPr>
          <w:p>
            <w:pPr>
              <w:pStyle w:val="Normal"/>
              <w:widowControl w:val="false"/>
              <w:ind w:hanging="0"/>
              <w:rPr>
                <w:rFonts w:eastAsia="Times New Roman"/>
                <w:lang w:val="es-ES"/>
              </w:rPr>
            </w:pPr>
            <w:r>
              <w:rPr>
                <w:rFonts w:eastAsia="Times New Roman"/>
                <w:lang w:val="es-ES"/>
              </w:rPr>
            </w:r>
          </w:p>
        </w:tc>
        <w:tc>
          <w:tcPr>
            <w:tcW w:w="691" w:type="dxa"/>
            <w:tcBorders>
              <w:top w:val="single" w:sz="6" w:space="0" w:color="CCCCCC"/>
              <w:left w:val="single" w:sz="6" w:space="0" w:color="CCCCCC"/>
              <w:bottom w:val="single" w:sz="6" w:space="0" w:color="000000"/>
              <w:right w:val="single" w:sz="6" w:space="0" w:color="000000"/>
            </w:tcBorders>
            <w:vAlign w:val="center"/>
          </w:tcPr>
          <w:p>
            <w:pPr>
              <w:pStyle w:val="Normal"/>
              <w:widowControl w:val="false"/>
              <w:ind w:hanging="0"/>
              <w:jc w:val="center"/>
              <w:rPr>
                <w:rFonts w:eastAsia="Times New Roman"/>
                <w:bCs/>
                <w:lang w:val="es-ES"/>
              </w:rPr>
            </w:pPr>
            <w:r>
              <w:rPr>
                <w:rFonts w:eastAsia="Times New Roman"/>
                <w:bCs/>
                <w:lang w:val="es-ES"/>
              </w:rPr>
              <w:t>12.00</w:t>
            </w:r>
          </w:p>
        </w:tc>
        <w:tc>
          <w:tcPr>
            <w:tcW w:w="6673" w:type="dxa"/>
            <w:vMerge w:val="restart"/>
            <w:tcBorders>
              <w:top w:val="single" w:sz="6" w:space="0" w:color="CCCCCC"/>
              <w:left w:val="single" w:sz="6" w:space="0" w:color="CCCCCC"/>
              <w:bottom w:val="single" w:sz="6" w:space="0" w:color="000000"/>
              <w:right w:val="single" w:sz="6" w:space="0" w:color="000000"/>
            </w:tcBorders>
            <w:vAlign w:val="center"/>
          </w:tcPr>
          <w:p>
            <w:pPr>
              <w:pStyle w:val="Normal"/>
              <w:widowControl w:val="false"/>
              <w:ind w:hanging="0"/>
              <w:rPr>
                <w:rFonts w:eastAsia="Times New Roman"/>
                <w:lang w:val="es-ES"/>
              </w:rPr>
            </w:pPr>
            <w:r>
              <w:rPr>
                <w:rFonts w:eastAsia="Times New Roman"/>
                <w:lang w:val="es-ES"/>
              </w:rPr>
              <w:t>El discente atenderá al</w:t>
              <w:br/>
              <w:t>cliente/usuario en su puesto</w:t>
              <w:br/>
              <w:t>de trabajo, proporcionando</w:t>
              <w:br/>
              <w:t>asesoramiento y la atención y actitud adecuada en función del canal utilizado y en ocasiones  consultará su información histórica.</w:t>
            </w:r>
          </w:p>
        </w:tc>
      </w:tr>
      <w:tr>
        <w:trPr>
          <w:trHeight w:val="1335" w:hRule="atLeast"/>
        </w:trPr>
        <w:tc>
          <w:tcPr>
            <w:tcW w:w="7153" w:type="dxa"/>
            <w:gridSpan w:val="2"/>
            <w:tcBorders>
              <w:top w:val="single" w:sz="6" w:space="0" w:color="CCCCCC"/>
              <w:left w:val="single" w:sz="6" w:space="0" w:color="CCCCCC"/>
              <w:bottom w:val="single" w:sz="6" w:space="0" w:color="000000"/>
              <w:right w:val="single" w:sz="6" w:space="0" w:color="000000"/>
            </w:tcBorders>
            <w:vAlign w:val="center"/>
          </w:tcPr>
          <w:p>
            <w:pPr>
              <w:pStyle w:val="Normal"/>
              <w:widowControl w:val="false"/>
              <w:ind w:hanging="0"/>
              <w:rPr>
                <w:rFonts w:eastAsia="Times New Roman"/>
                <w:lang w:val="es-ES"/>
              </w:rPr>
            </w:pPr>
            <w:r>
              <w:rPr>
                <w:rFonts w:eastAsia="Times New Roman"/>
                <w:lang w:val="es-ES"/>
              </w:rPr>
              <w:t>f) Se ha aplicado la forma y actitud adecuadas, en la atención y asesoramiento a un cliente en función del canal de comunicación utilizado.</w:t>
            </w:r>
          </w:p>
        </w:tc>
        <w:tc>
          <w:tcPr>
            <w:tcW w:w="691" w:type="dxa"/>
            <w:tcBorders>
              <w:top w:val="single" w:sz="6" w:space="0" w:color="CCCCCC"/>
              <w:left w:val="single" w:sz="6" w:space="0" w:color="CCCCCC"/>
              <w:bottom w:val="single" w:sz="6" w:space="0" w:color="000000"/>
              <w:right w:val="single" w:sz="6" w:space="0" w:color="000000"/>
            </w:tcBorders>
            <w:vAlign w:val="center"/>
          </w:tcPr>
          <w:p>
            <w:pPr>
              <w:pStyle w:val="Normal"/>
              <w:widowControl w:val="false"/>
              <w:ind w:hanging="0"/>
              <w:jc w:val="right"/>
              <w:rPr>
                <w:rFonts w:eastAsia="Times New Roman"/>
                <w:lang w:val="es-ES"/>
              </w:rPr>
            </w:pPr>
            <w:r>
              <w:rPr>
                <w:rFonts w:eastAsia="Times New Roman"/>
                <w:lang w:val="es-ES"/>
              </w:rPr>
              <w:t>14,00</w:t>
            </w:r>
          </w:p>
        </w:tc>
        <w:tc>
          <w:tcPr>
            <w:tcW w:w="6673" w:type="dxa"/>
            <w:vMerge w:val="continue"/>
            <w:tcBorders>
              <w:top w:val="single" w:sz="6" w:space="0" w:color="CCCCCC"/>
              <w:left w:val="single" w:sz="6" w:space="0" w:color="CCCCCC"/>
              <w:bottom w:val="single" w:sz="6" w:space="0" w:color="000000"/>
              <w:right w:val="single" w:sz="6" w:space="0" w:color="000000"/>
            </w:tcBorders>
            <w:tcMar>
              <w:left w:w="7" w:type="dxa"/>
              <w:right w:w="7" w:type="dxa"/>
            </w:tcMar>
            <w:vAlign w:val="center"/>
          </w:tcPr>
          <w:p>
            <w:pPr>
              <w:pStyle w:val="Normal"/>
              <w:widowControl w:val="false"/>
              <w:ind w:hanging="0"/>
              <w:rPr>
                <w:rFonts w:eastAsia="Times New Roman"/>
                <w:lang w:val="es-ES"/>
              </w:rPr>
            </w:pPr>
            <w:r>
              <w:rPr>
                <w:rFonts w:eastAsia="Times New Roman"/>
                <w:lang w:val="es-ES"/>
              </w:rPr>
            </w:r>
          </w:p>
        </w:tc>
      </w:tr>
    </w:tbl>
    <w:p>
      <w:pPr>
        <w:pStyle w:val="Normal"/>
        <w:ind w:left="2" w:hanging="4"/>
        <w:jc w:val="both"/>
        <w:rPr>
          <w:color w:val="000000"/>
        </w:rPr>
      </w:pPr>
      <w:r>
        <w:rPr>
          <w:color w:val="000000"/>
        </w:rPr>
      </w:r>
    </w:p>
    <w:p>
      <w:pPr>
        <w:pStyle w:val="Normal"/>
        <w:ind w:left="2" w:hanging="4"/>
        <w:jc w:val="both"/>
        <w:rPr>
          <w:color w:val="000000"/>
        </w:rPr>
      </w:pPr>
      <w:r>
        <w:rPr>
          <w:color w:val="000000"/>
        </w:rPr>
      </w:r>
    </w:p>
    <w:p>
      <w:pPr>
        <w:pStyle w:val="Normal"/>
        <w:ind w:left="2" w:hanging="4"/>
        <w:jc w:val="both"/>
        <w:rPr>
          <w:color w:val="000000"/>
        </w:rPr>
      </w:pPr>
      <w:r>
        <w:rPr>
          <w:color w:val="000000"/>
        </w:rPr>
        <w:t xml:space="preserve">Para valorar las actividades en la empresa se utilizará la rúbrica según la normativa: </w:t>
      </w:r>
    </w:p>
    <w:tbl>
      <w:tblPr>
        <w:tblStyle w:val="affffffff4"/>
        <w:tblW w:w="12155" w:type="dxa"/>
        <w:jc w:val="left"/>
        <w:tblInd w:w="-106" w:type="dxa"/>
        <w:tblLayout w:type="fixed"/>
        <w:tblCellMar>
          <w:top w:w="0" w:type="dxa"/>
          <w:left w:w="108" w:type="dxa"/>
          <w:bottom w:w="0" w:type="dxa"/>
          <w:right w:w="108" w:type="dxa"/>
        </w:tblCellMar>
        <w:tblLook w:val="0400" w:noHBand="0" w:noVBand="1" w:firstColumn="0" w:lastRow="0" w:lastColumn="0" w:firstRow="0"/>
      </w:tblPr>
      <w:tblGrid>
        <w:gridCol w:w="2232"/>
        <w:gridCol w:w="2976"/>
        <w:gridCol w:w="3829"/>
        <w:gridCol w:w="3117"/>
      </w:tblGrid>
      <w:tr>
        <w:trPr/>
        <w:tc>
          <w:tcPr>
            <w:tcW w:w="2232"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b/>
                <w:b/>
                <w:color w:val="000000"/>
                <w:sz w:val="24"/>
                <w:szCs w:val="24"/>
              </w:rPr>
            </w:pPr>
            <w:r>
              <w:rPr>
                <w:b/>
                <w:color w:val="000000"/>
                <w:sz w:val="24"/>
                <w:szCs w:val="24"/>
              </w:rPr>
              <w:t>No sabe hacerlo</w:t>
            </w:r>
          </w:p>
        </w:tc>
        <w:tc>
          <w:tcPr>
            <w:tcW w:w="2976"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b/>
                <w:b/>
                <w:color w:val="000000"/>
                <w:sz w:val="24"/>
                <w:szCs w:val="24"/>
              </w:rPr>
            </w:pPr>
            <w:r>
              <w:rPr>
                <w:b/>
                <w:color w:val="000000"/>
                <w:sz w:val="24"/>
                <w:szCs w:val="24"/>
              </w:rPr>
              <w:t>Sabe hacerlo con ayuda</w:t>
            </w:r>
          </w:p>
        </w:tc>
        <w:tc>
          <w:tcPr>
            <w:tcW w:w="3829"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b/>
                <w:b/>
                <w:color w:val="000000"/>
                <w:sz w:val="24"/>
                <w:szCs w:val="24"/>
              </w:rPr>
            </w:pPr>
            <w:r>
              <w:rPr>
                <w:b/>
                <w:color w:val="000000"/>
                <w:sz w:val="24"/>
                <w:szCs w:val="24"/>
              </w:rPr>
              <w:t>Sabe hacerlo de manera autónoma</w:t>
            </w:r>
          </w:p>
        </w:tc>
        <w:tc>
          <w:tcPr>
            <w:tcW w:w="3117"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b/>
                <w:b/>
                <w:color w:val="000000"/>
                <w:sz w:val="24"/>
                <w:szCs w:val="24"/>
              </w:rPr>
            </w:pPr>
            <w:r>
              <w:rPr>
                <w:b/>
                <w:color w:val="000000"/>
                <w:sz w:val="24"/>
                <w:szCs w:val="24"/>
              </w:rPr>
              <w:t>Sabe hacerlo de manera autónoma y es capaz de enseñar a otros</w:t>
            </w:r>
          </w:p>
        </w:tc>
      </w:tr>
      <w:tr>
        <w:trPr/>
        <w:tc>
          <w:tcPr>
            <w:tcW w:w="2232"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b/>
                <w:b/>
                <w:color w:val="000000"/>
                <w:sz w:val="32"/>
                <w:szCs w:val="32"/>
              </w:rPr>
            </w:pPr>
            <w:r>
              <w:rPr>
                <w:b/>
                <w:color w:val="000000"/>
                <w:sz w:val="32"/>
                <w:szCs w:val="32"/>
              </w:rPr>
              <w:t>2.5</w:t>
            </w:r>
          </w:p>
        </w:tc>
        <w:tc>
          <w:tcPr>
            <w:tcW w:w="2976"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b/>
                <w:b/>
                <w:color w:val="000000"/>
                <w:sz w:val="32"/>
                <w:szCs w:val="32"/>
              </w:rPr>
            </w:pPr>
            <w:r>
              <w:rPr>
                <w:b/>
                <w:color w:val="000000"/>
                <w:sz w:val="32"/>
                <w:szCs w:val="32"/>
              </w:rPr>
              <w:t>5</w:t>
            </w:r>
          </w:p>
        </w:tc>
        <w:tc>
          <w:tcPr>
            <w:tcW w:w="3829"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b/>
                <w:b/>
                <w:color w:val="000000"/>
                <w:sz w:val="32"/>
                <w:szCs w:val="32"/>
              </w:rPr>
            </w:pPr>
            <w:r>
              <w:rPr>
                <w:b/>
                <w:color w:val="000000"/>
                <w:sz w:val="32"/>
                <w:szCs w:val="32"/>
              </w:rPr>
              <w:t>7.5</w:t>
            </w:r>
          </w:p>
        </w:tc>
        <w:tc>
          <w:tcPr>
            <w:tcW w:w="3117"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b/>
                <w:b/>
                <w:color w:val="000000"/>
                <w:sz w:val="32"/>
                <w:szCs w:val="32"/>
              </w:rPr>
            </w:pPr>
            <w:r>
              <w:rPr>
                <w:b/>
                <w:color w:val="000000"/>
                <w:sz w:val="32"/>
                <w:szCs w:val="32"/>
              </w:rPr>
              <w:t>10</w:t>
            </w:r>
          </w:p>
        </w:tc>
      </w:tr>
    </w:tbl>
    <w:p>
      <w:pPr>
        <w:pStyle w:val="Normal"/>
        <w:ind w:left="2" w:hanging="4"/>
        <w:jc w:val="both"/>
        <w:rPr>
          <w:color w:val="000000"/>
        </w:rPr>
      </w:pPr>
      <w:r>
        <w:rPr>
          <w:color w:val="000000"/>
        </w:rPr>
      </w:r>
    </w:p>
    <w:p>
      <w:pPr>
        <w:sectPr>
          <w:headerReference w:type="default" r:id="rId12"/>
          <w:footerReference w:type="default" r:id="rId13"/>
          <w:footerReference w:type="first" r:id="rId14"/>
          <w:type w:val="nextPage"/>
          <w:pgSz w:orient="landscape" w:w="16838" w:h="11906"/>
          <w:pgMar w:left="1134" w:right="1276" w:gutter="0" w:header="1134" w:top="1191" w:footer="567" w:bottom="992"/>
          <w:pgNumType w:start="1" w:fmt="decimal"/>
          <w:formProt w:val="false"/>
          <w:titlePg/>
          <w:textDirection w:val="lrTb"/>
          <w:docGrid w:type="default" w:linePitch="100" w:charSpace="0"/>
        </w:sectPr>
        <w:pStyle w:val="Normal"/>
        <w:ind w:left="2" w:hanging="4"/>
        <w:jc w:val="both"/>
        <w:rPr>
          <w:color w:val="000000"/>
        </w:rPr>
      </w:pPr>
      <w:r>
        <w:rPr>
          <w:color w:val="000000"/>
        </w:rPr>
        <w:t>El valor numérico ha sido establecido a nivel de departamento</w:t>
      </w:r>
    </w:p>
    <w:p>
      <w:pPr>
        <w:pStyle w:val="Normal"/>
        <w:ind w:left="2" w:hanging="4"/>
        <w:jc w:val="both"/>
        <w:rPr>
          <w:color w:val="000000"/>
          <w:sz w:val="40"/>
          <w:szCs w:val="40"/>
        </w:rPr>
      </w:pPr>
      <w:r>
        <w:rPr/>
      </w:r>
    </w:p>
    <w:sectPr>
      <w:headerReference w:type="default" r:id="rId15"/>
      <w:footerReference w:type="default" r:id="rId16"/>
      <w:footerReference w:type="first" r:id="rId17"/>
      <w:type w:val="nextPage"/>
      <w:pgSz w:w="11906" w:h="16838"/>
      <w:pgMar w:left="992" w:right="992" w:gutter="0" w:header="1134" w:top="1276" w:footer="567" w:bottom="1134"/>
      <w:pgNumType w:start="1" w:fmt="decimal"/>
      <w:formProt w:val="false"/>
      <w:titlePg/>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Arial">
    <w:charset w:val="01"/>
    <w:family w:val="roman"/>
    <w:pitch w:val="variable"/>
  </w:font>
  <w:font w:name="Tahoma">
    <w:charset w:val="01"/>
    <w:family w:val="roman"/>
    <w:pitch w:val="variable"/>
  </w:font>
  <w:font w:name="Liberation Sans">
    <w:altName w:val="Arial"/>
    <w:charset w:val="01"/>
    <w:family w:val="swiss"/>
    <w:pitch w:val="variable"/>
  </w:font>
  <w:font w:name="Times New Roman">
    <w:charset w:val="01"/>
    <w:family w:val="roman"/>
    <w:pitch w:val="variable"/>
  </w:font>
  <w:font w:name="Georgia">
    <w:charset w:val="01"/>
    <w:family w:val="roman"/>
    <w:pitch w:val="variable"/>
  </w:font>
  <w:font w:name="Verdana">
    <w:charset w:val="01"/>
    <w:family w:val="roman"/>
    <w:pitch w:val="variable"/>
  </w:font>
  <w:font w:name="Calibri">
    <w:charset w:val="01"/>
    <w:family w:val="roman"/>
    <w:pitch w:val="variable"/>
  </w:font>
  <w:font w:name="Engravers MT">
    <w:charset w:val="01"/>
    <w:family w:val="roman"/>
    <w:pitch w:val="variable"/>
  </w:font>
  <w:font w:name="Helvetica Neue">
    <w:charset w:val="01"/>
    <w:family w:val="roman"/>
    <w:pitch w:val="variable"/>
  </w:font>
  <w:font w:name="Liberation Sans">
    <w:altName w:val="Arial"/>
    <w:charset w:val="01"/>
    <w:family w:val="roman"/>
    <w:pitch w:val="variable"/>
  </w:font>
  <w:font w:name="Aptos Narrow">
    <w:charset w:val="01"/>
    <w:family w:val="roman"/>
    <w:pitch w:val="variable"/>
  </w:font>
  <w:font w:name="Noto Sans">
    <w:charset w:val="01"/>
    <w:family w:val="swiss"/>
    <w:pitch w:val="default"/>
  </w:font>
  <w:font w:name="Courier New">
    <w:charset w:val="01"/>
    <w:family w:val="modern"/>
    <w:pitch w:val="fixed"/>
  </w:font>
  <w:font w:name="OpenSymbol">
    <w:altName w:val="Arial Unicode MS"/>
    <w:charset w:val="02"/>
    <w:family w:val="auto"/>
    <w:pitch w:val="default"/>
  </w:font>
  <w:font w:name="Noto Sans Symbols">
    <w:charset w:val="01"/>
    <w:family w:val="swiss"/>
    <w:pitch w:val="default"/>
  </w:font>
  <w:font w:name="Arial">
    <w:charset w:val="01"/>
    <w:family w:val="swiss"/>
    <w:pitch w:val="variable"/>
  </w:font>
  <w:font w:name="Wingdings">
    <w:charset w:val="02"/>
    <w:family w:val="auto"/>
    <w:pitch w:val="default"/>
  </w:font>
  <w:font w:name="Wingdings 2">
    <w:charset w:val="02"/>
    <w:family w:val="auto"/>
    <w:pitch w:val="default"/>
  </w:font>
  <w:font w:name="OpenSymbol">
    <w:altName w:val="Arial Unicode MS"/>
    <w:charset w:val="01"/>
    <w:family w:val="auto"/>
    <w:pitch w:val="default"/>
  </w:font>
  <w:font w:name="Symbol">
    <w:charset w:val="02"/>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tabs>
        <w:tab w:val="clear" w:pos="720"/>
        <w:tab w:val="center" w:pos="4252" w:leader="none"/>
        <w:tab w:val="right" w:pos="8504" w:leader="none"/>
      </w:tabs>
      <w:ind w:hanging="2"/>
      <w:jc w:val="right"/>
      <w:rPr>
        <w:color w:val="000000"/>
      </w:rPr>
    </w:pPr>
    <w:r>
      <w:rPr>
        <w:color w:val="000000"/>
      </w:rPr>
      <w:fldChar w:fldCharType="begin"/>
    </w:r>
    <w:r>
      <w:rPr>
        <w:color w:val="000000"/>
      </w:rPr>
      <w:instrText xml:space="preserve"> PAGE </w:instrText>
    </w:r>
    <w:r>
      <w:rPr>
        <w:color w:val="000000"/>
      </w:rPr>
      <w:fldChar w:fldCharType="separate"/>
    </w:r>
    <w:r>
      <w:rPr>
        <w:color w:val="000000"/>
      </w:rPr>
      <w:t>7</w:t>
    </w:r>
    <w:r>
      <w:rPr>
        <w:color w:val="000000"/>
      </w:rPr>
      <w:fldChar w:fldCharType="end"/>
    </w:r>
  </w:p>
  <w:p>
    <w:pPr>
      <w:pStyle w:val="Normal"/>
      <w:pBdr/>
      <w:tabs>
        <w:tab w:val="clear" w:pos="720"/>
        <w:tab w:val="center" w:pos="4252" w:leader="none"/>
        <w:tab w:val="right" w:pos="8504" w:leader="none"/>
        <w:tab w:val="right" w:pos="9635" w:leader="none"/>
      </w:tabs>
      <w:ind w:hanging="2"/>
      <w:rPr>
        <w:color w:val="000000"/>
      </w:rPr>
    </w:pPr>
    <w:r>
      <w:rPr>
        <w:rFonts w:eastAsia="Liberation Sans" w:cs="Liberation Sans" w:ascii="Liberation Sans" w:hAnsi="Liberation Sans"/>
        <w:color w:val="000000"/>
        <w:sz w:val="16"/>
        <w:szCs w:val="16"/>
      </w:rPr>
      <w:t>MD75010208 rev5</w:t>
      <w:tab/>
      <w:t xml:space="preserve">Página </w:t>
    </w:r>
    <w:r>
      <w:rPr>
        <w:rFonts w:eastAsia="Liberation Sans" w:cs="Liberation Sans" w:ascii="Liberation Sans" w:hAnsi="Liberation Sans"/>
        <w:b/>
        <w:color w:val="000000"/>
        <w:sz w:val="16"/>
        <w:szCs w:val="16"/>
      </w:rPr>
      <w:fldChar w:fldCharType="begin"/>
    </w:r>
    <w:r>
      <w:rPr>
        <w:sz w:val="16"/>
        <w:b/>
        <w:szCs w:val="16"/>
        <w:rFonts w:eastAsia="Liberation Sans" w:cs="Liberation Sans" w:ascii="Liberation Sans" w:hAnsi="Liberation Sans"/>
        <w:color w:val="000000"/>
      </w:rPr>
      <w:instrText xml:space="preserve"> PAGE </w:instrText>
    </w:r>
    <w:r>
      <w:rPr>
        <w:sz w:val="16"/>
        <w:b/>
        <w:szCs w:val="16"/>
        <w:rFonts w:eastAsia="Liberation Sans" w:cs="Liberation Sans" w:ascii="Liberation Sans" w:hAnsi="Liberation Sans"/>
        <w:color w:val="000000"/>
      </w:rPr>
      <w:fldChar w:fldCharType="separate"/>
    </w:r>
    <w:r>
      <w:rPr>
        <w:sz w:val="16"/>
        <w:b/>
        <w:szCs w:val="16"/>
        <w:rFonts w:eastAsia="Liberation Sans" w:cs="Liberation Sans" w:ascii="Liberation Sans" w:hAnsi="Liberation Sans"/>
        <w:color w:val="000000"/>
      </w:rPr>
      <w:t>7</w:t>
    </w:r>
    <w:r>
      <w:rPr>
        <w:sz w:val="16"/>
        <w:b/>
        <w:szCs w:val="16"/>
        <w:rFonts w:eastAsia="Liberation Sans" w:cs="Liberation Sans" w:ascii="Liberation Sans" w:hAnsi="Liberation Sans"/>
        <w:color w:val="000000"/>
      </w:rPr>
      <w:fldChar w:fldCharType="end"/>
    </w:r>
    <w:r>
      <w:rPr>
        <w:rFonts w:eastAsia="Liberation Sans" w:cs="Liberation Sans" w:ascii="Liberation Sans" w:hAnsi="Liberation Sans"/>
        <w:color w:val="000000"/>
        <w:sz w:val="16"/>
        <w:szCs w:val="16"/>
      </w:rPr>
      <w:t xml:space="preserve"> de </w:t>
    </w:r>
    <w:r>
      <w:rPr>
        <w:rFonts w:eastAsia="Liberation Sans" w:cs="Liberation Sans" w:ascii="Liberation Sans" w:hAnsi="Liberation Sans"/>
        <w:b/>
        <w:color w:val="000000"/>
        <w:sz w:val="16"/>
        <w:szCs w:val="16"/>
      </w:rPr>
      <w:fldChar w:fldCharType="begin"/>
    </w:r>
    <w:r>
      <w:rPr>
        <w:sz w:val="16"/>
        <w:b/>
        <w:szCs w:val="16"/>
        <w:rFonts w:eastAsia="Liberation Sans" w:cs="Liberation Sans" w:ascii="Liberation Sans" w:hAnsi="Liberation Sans"/>
        <w:color w:val="000000"/>
      </w:rPr>
      <w:instrText xml:space="preserve"> NUMPAGES </w:instrText>
    </w:r>
    <w:r>
      <w:rPr>
        <w:sz w:val="16"/>
        <w:b/>
        <w:szCs w:val="16"/>
        <w:rFonts w:eastAsia="Liberation Sans" w:cs="Liberation Sans" w:ascii="Liberation Sans" w:hAnsi="Liberation Sans"/>
        <w:color w:val="000000"/>
      </w:rPr>
      <w:fldChar w:fldCharType="separate"/>
    </w:r>
    <w:r>
      <w:rPr>
        <w:sz w:val="16"/>
        <w:b/>
        <w:szCs w:val="16"/>
        <w:rFonts w:eastAsia="Liberation Sans" w:cs="Liberation Sans" w:ascii="Liberation Sans" w:hAnsi="Liberation Sans"/>
        <w:color w:val="000000"/>
      </w:rPr>
      <w:t>55</w:t>
    </w:r>
    <w:r>
      <w:rPr>
        <w:sz w:val="16"/>
        <w:b/>
        <w:szCs w:val="16"/>
        <w:rFonts w:eastAsia="Liberation Sans" w:cs="Liberation Sans" w:ascii="Liberation Sans" w:hAnsi="Liberation Sans"/>
        <w:color w:val="000000"/>
      </w:rPr>
      <w:fldChar w:fldCharType="end"/>
    </w:r>
    <w:r>
      <w:rPr>
        <w:rFonts w:eastAsia="Liberation Sans" w:cs="Liberation Sans" w:ascii="Liberation Sans" w:hAnsi="Liberation Sans"/>
        <w:color w:val="000000"/>
        <w:sz w:val="16"/>
        <w:szCs w:val="16"/>
      </w:rPr>
      <w:tab/>
      <w:t>30/06/2022</w:t>
    </w:r>
  </w:p>
  <w:p>
    <w:pPr>
      <w:pStyle w:val="Normal"/>
      <w:pBdr/>
      <w:tabs>
        <w:tab w:val="clear" w:pos="720"/>
        <w:tab w:val="center" w:pos="4252" w:leader="none"/>
        <w:tab w:val="right" w:pos="8504" w:leader="none"/>
      </w:tabs>
      <w:ind w:hanging="2"/>
      <w:rPr>
        <w:color w:val="000000"/>
      </w:rPr>
    </w:pPr>
    <w:r>
      <w:rPr>
        <w:color w:val="000000"/>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tabs>
        <w:tab w:val="clear" w:pos="720"/>
        <w:tab w:val="center" w:pos="4252" w:leader="none"/>
        <w:tab w:val="right" w:pos="8504" w:leader="none"/>
      </w:tabs>
      <w:ind w:hanging="2"/>
      <w:jc w:val="right"/>
      <w:rPr>
        <w:color w:val="000000"/>
      </w:rPr>
    </w:pPr>
    <w:r>
      <w:rPr>
        <w:color w:val="000000"/>
      </w:rPr>
    </w:r>
  </w:p>
  <w:p>
    <w:pPr>
      <w:pStyle w:val="Normal"/>
      <w:pBdr/>
      <w:tabs>
        <w:tab w:val="clear" w:pos="720"/>
        <w:tab w:val="center" w:pos="4252" w:leader="none"/>
        <w:tab w:val="right" w:pos="8504" w:leader="none"/>
        <w:tab w:val="right" w:pos="10065" w:leader="none"/>
      </w:tabs>
      <w:ind w:hanging="2"/>
      <w:rPr>
        <w:color w:val="000000"/>
      </w:rPr>
    </w:pPr>
    <w:r>
      <w:rPr>
        <w:color w:val="000000"/>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tabs>
        <w:tab w:val="clear" w:pos="720"/>
        <w:tab w:val="center" w:pos="4252" w:leader="none"/>
        <w:tab w:val="right" w:pos="8504" w:leader="none"/>
      </w:tabs>
      <w:ind w:hanging="2"/>
      <w:jc w:val="right"/>
      <w:rPr>
        <w:color w:val="000000"/>
      </w:rPr>
    </w:pPr>
    <w:r>
      <w:rPr>
        <w:color w:val="000000"/>
      </w:rPr>
      <w:fldChar w:fldCharType="begin"/>
    </w:r>
    <w:r>
      <w:rPr>
        <w:color w:val="000000"/>
      </w:rPr>
      <w:instrText xml:space="preserve"> PAGE </w:instrText>
    </w:r>
    <w:r>
      <w:rPr>
        <w:color w:val="000000"/>
      </w:rPr>
      <w:fldChar w:fldCharType="separate"/>
    </w:r>
    <w:r>
      <w:rPr>
        <w:color w:val="000000"/>
      </w:rPr>
      <w:t>3</w:t>
    </w:r>
    <w:r>
      <w:rPr>
        <w:color w:val="000000"/>
      </w:rPr>
      <w:fldChar w:fldCharType="end"/>
    </w:r>
  </w:p>
  <w:p>
    <w:pPr>
      <w:pStyle w:val="Normal"/>
      <w:pBdr/>
      <w:tabs>
        <w:tab w:val="clear" w:pos="720"/>
        <w:tab w:val="center" w:pos="4252" w:leader="none"/>
        <w:tab w:val="right" w:pos="8504" w:leader="none"/>
        <w:tab w:val="right" w:pos="9635" w:leader="none"/>
      </w:tabs>
      <w:ind w:hanging="2"/>
      <w:rPr>
        <w:color w:val="000000"/>
      </w:rPr>
    </w:pPr>
    <w:r>
      <w:rPr>
        <w:rFonts w:eastAsia="Liberation Sans" w:cs="Liberation Sans" w:ascii="Liberation Sans" w:hAnsi="Liberation Sans"/>
        <w:color w:val="000000"/>
        <w:sz w:val="16"/>
        <w:szCs w:val="16"/>
      </w:rPr>
      <w:t>MD75010208 rev5</w:t>
      <w:tab/>
      <w:t xml:space="preserve">Página </w:t>
    </w:r>
    <w:r>
      <w:rPr>
        <w:rFonts w:eastAsia="Liberation Sans" w:cs="Liberation Sans" w:ascii="Liberation Sans" w:hAnsi="Liberation Sans"/>
        <w:b/>
        <w:color w:val="000000"/>
        <w:sz w:val="16"/>
        <w:szCs w:val="16"/>
      </w:rPr>
      <w:fldChar w:fldCharType="begin"/>
    </w:r>
    <w:r>
      <w:rPr>
        <w:sz w:val="16"/>
        <w:b/>
        <w:szCs w:val="16"/>
        <w:rFonts w:eastAsia="Liberation Sans" w:cs="Liberation Sans" w:ascii="Liberation Sans" w:hAnsi="Liberation Sans"/>
        <w:color w:val="000000"/>
      </w:rPr>
      <w:instrText xml:space="preserve"> PAGE </w:instrText>
    </w:r>
    <w:r>
      <w:rPr>
        <w:sz w:val="16"/>
        <w:b/>
        <w:szCs w:val="16"/>
        <w:rFonts w:eastAsia="Liberation Sans" w:cs="Liberation Sans" w:ascii="Liberation Sans" w:hAnsi="Liberation Sans"/>
        <w:color w:val="000000"/>
      </w:rPr>
      <w:fldChar w:fldCharType="separate"/>
    </w:r>
    <w:r>
      <w:rPr>
        <w:sz w:val="16"/>
        <w:b/>
        <w:szCs w:val="16"/>
        <w:rFonts w:eastAsia="Liberation Sans" w:cs="Liberation Sans" w:ascii="Liberation Sans" w:hAnsi="Liberation Sans"/>
        <w:color w:val="000000"/>
      </w:rPr>
      <w:t>3</w:t>
    </w:r>
    <w:r>
      <w:rPr>
        <w:sz w:val="16"/>
        <w:b/>
        <w:szCs w:val="16"/>
        <w:rFonts w:eastAsia="Liberation Sans" w:cs="Liberation Sans" w:ascii="Liberation Sans" w:hAnsi="Liberation Sans"/>
        <w:color w:val="000000"/>
      </w:rPr>
      <w:fldChar w:fldCharType="end"/>
    </w:r>
    <w:r>
      <w:rPr>
        <w:rFonts w:eastAsia="Liberation Sans" w:cs="Liberation Sans" w:ascii="Liberation Sans" w:hAnsi="Liberation Sans"/>
        <w:color w:val="000000"/>
        <w:sz w:val="16"/>
        <w:szCs w:val="16"/>
      </w:rPr>
      <w:t xml:space="preserve"> de </w:t>
    </w:r>
    <w:r>
      <w:rPr>
        <w:rFonts w:eastAsia="Liberation Sans" w:cs="Liberation Sans" w:ascii="Liberation Sans" w:hAnsi="Liberation Sans"/>
        <w:b/>
        <w:color w:val="000000"/>
        <w:sz w:val="16"/>
        <w:szCs w:val="16"/>
      </w:rPr>
      <w:fldChar w:fldCharType="begin"/>
    </w:r>
    <w:r>
      <w:rPr>
        <w:sz w:val="16"/>
        <w:b/>
        <w:szCs w:val="16"/>
        <w:rFonts w:eastAsia="Liberation Sans" w:cs="Liberation Sans" w:ascii="Liberation Sans" w:hAnsi="Liberation Sans"/>
        <w:color w:val="000000"/>
      </w:rPr>
      <w:instrText xml:space="preserve"> NUMPAGES </w:instrText>
    </w:r>
    <w:r>
      <w:rPr>
        <w:sz w:val="16"/>
        <w:b/>
        <w:szCs w:val="16"/>
        <w:rFonts w:eastAsia="Liberation Sans" w:cs="Liberation Sans" w:ascii="Liberation Sans" w:hAnsi="Liberation Sans"/>
        <w:color w:val="000000"/>
      </w:rPr>
      <w:fldChar w:fldCharType="separate"/>
    </w:r>
    <w:r>
      <w:rPr>
        <w:sz w:val="16"/>
        <w:b/>
        <w:szCs w:val="16"/>
        <w:rFonts w:eastAsia="Liberation Sans" w:cs="Liberation Sans" w:ascii="Liberation Sans" w:hAnsi="Liberation Sans"/>
        <w:color w:val="000000"/>
      </w:rPr>
      <w:t>55</w:t>
    </w:r>
    <w:r>
      <w:rPr>
        <w:sz w:val="16"/>
        <w:b/>
        <w:szCs w:val="16"/>
        <w:rFonts w:eastAsia="Liberation Sans" w:cs="Liberation Sans" w:ascii="Liberation Sans" w:hAnsi="Liberation Sans"/>
        <w:color w:val="000000"/>
      </w:rPr>
      <w:fldChar w:fldCharType="end"/>
    </w:r>
    <w:r>
      <w:rPr>
        <w:rFonts w:eastAsia="Liberation Sans" w:cs="Liberation Sans" w:ascii="Liberation Sans" w:hAnsi="Liberation Sans"/>
        <w:color w:val="000000"/>
        <w:sz w:val="16"/>
        <w:szCs w:val="16"/>
      </w:rPr>
      <w:tab/>
      <w:t>30/06/2022</w:t>
    </w:r>
  </w:p>
  <w:p>
    <w:pPr>
      <w:pStyle w:val="Normal"/>
      <w:pBdr/>
      <w:tabs>
        <w:tab w:val="clear" w:pos="720"/>
        <w:tab w:val="center" w:pos="4252" w:leader="none"/>
        <w:tab w:val="right" w:pos="8504" w:leader="none"/>
      </w:tabs>
      <w:ind w:hanging="2"/>
      <w:rPr>
        <w:color w:val="000000"/>
      </w:rPr>
    </w:pPr>
    <w:r>
      <w:rPr>
        <w:color w:val="000000"/>
      </w:rPr>
    </w:r>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tabs>
        <w:tab w:val="clear" w:pos="720"/>
        <w:tab w:val="center" w:pos="4252" w:leader="none"/>
        <w:tab w:val="right" w:pos="8504" w:leader="none"/>
      </w:tabs>
      <w:ind w:hanging="2"/>
      <w:jc w:val="right"/>
      <w:rPr>
        <w:color w:val="000000"/>
      </w:rPr>
    </w:pPr>
    <w:r>
      <w:rPr>
        <w:color w:val="000000"/>
      </w:rPr>
    </w:r>
  </w:p>
  <w:p>
    <w:pPr>
      <w:pStyle w:val="Normal"/>
      <w:pBdr/>
      <w:tabs>
        <w:tab w:val="clear" w:pos="720"/>
        <w:tab w:val="center" w:pos="4252" w:leader="none"/>
        <w:tab w:val="right" w:pos="8504" w:leader="none"/>
        <w:tab w:val="right" w:pos="10065" w:leader="none"/>
      </w:tabs>
      <w:ind w:hanging="2"/>
      <w:rPr>
        <w:color w:val="000000"/>
      </w:rPr>
    </w:pPr>
    <w:r>
      <w:rPr>
        <w:color w:val="000000"/>
      </w:rPr>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tabs>
        <w:tab w:val="clear" w:pos="720"/>
        <w:tab w:val="center" w:pos="4252" w:leader="none"/>
        <w:tab w:val="right" w:pos="8504" w:leader="none"/>
      </w:tabs>
      <w:ind w:hanging="2"/>
      <w:jc w:val="right"/>
      <w:rPr>
        <w:color w:val="000000"/>
      </w:rPr>
    </w:pPr>
    <w:r>
      <w:rPr>
        <w:color w:val="000000"/>
      </w:rPr>
      <w:fldChar w:fldCharType="begin"/>
    </w:r>
    <w:r>
      <w:rPr>
        <w:color w:val="000000"/>
      </w:rPr>
      <w:instrText xml:space="preserve"> PAGE </w:instrText>
    </w:r>
    <w:r>
      <w:rPr>
        <w:color w:val="000000"/>
      </w:rPr>
      <w:fldChar w:fldCharType="separate"/>
    </w:r>
    <w:r>
      <w:rPr>
        <w:color w:val="000000"/>
      </w:rPr>
      <w:t>0</w:t>
    </w:r>
    <w:r>
      <w:rPr>
        <w:color w:val="000000"/>
      </w:rPr>
      <w:fldChar w:fldCharType="end"/>
    </w:r>
  </w:p>
  <w:p>
    <w:pPr>
      <w:pStyle w:val="Normal"/>
      <w:pBdr/>
      <w:tabs>
        <w:tab w:val="clear" w:pos="720"/>
        <w:tab w:val="center" w:pos="4252" w:leader="none"/>
        <w:tab w:val="right" w:pos="8504" w:leader="none"/>
        <w:tab w:val="right" w:pos="9635" w:leader="none"/>
      </w:tabs>
      <w:ind w:hanging="2"/>
      <w:rPr>
        <w:color w:val="000000"/>
      </w:rPr>
    </w:pPr>
    <w:r>
      <w:rPr>
        <w:rFonts w:eastAsia="Liberation Sans" w:cs="Liberation Sans" w:ascii="Liberation Sans" w:hAnsi="Liberation Sans"/>
        <w:color w:val="000000"/>
        <w:sz w:val="16"/>
        <w:szCs w:val="16"/>
      </w:rPr>
      <w:t>MD75010208 rev5</w:t>
      <w:tab/>
      <w:t xml:space="preserve">Página </w:t>
    </w:r>
    <w:r>
      <w:rPr>
        <w:rFonts w:eastAsia="Liberation Sans" w:cs="Liberation Sans" w:ascii="Liberation Sans" w:hAnsi="Liberation Sans"/>
        <w:b/>
        <w:color w:val="000000"/>
        <w:sz w:val="16"/>
        <w:szCs w:val="16"/>
      </w:rPr>
      <w:fldChar w:fldCharType="begin"/>
    </w:r>
    <w:r>
      <w:rPr>
        <w:sz w:val="16"/>
        <w:b/>
        <w:szCs w:val="16"/>
        <w:rFonts w:eastAsia="Liberation Sans" w:cs="Liberation Sans" w:ascii="Liberation Sans" w:hAnsi="Liberation Sans"/>
        <w:color w:val="000000"/>
      </w:rPr>
      <w:instrText xml:space="preserve"> PAGE </w:instrText>
    </w:r>
    <w:r>
      <w:rPr>
        <w:sz w:val="16"/>
        <w:b/>
        <w:szCs w:val="16"/>
        <w:rFonts w:eastAsia="Liberation Sans" w:cs="Liberation Sans" w:ascii="Liberation Sans" w:hAnsi="Liberation Sans"/>
        <w:color w:val="000000"/>
      </w:rPr>
      <w:fldChar w:fldCharType="separate"/>
    </w:r>
    <w:r>
      <w:rPr>
        <w:sz w:val="16"/>
        <w:b/>
        <w:szCs w:val="16"/>
        <w:rFonts w:eastAsia="Liberation Sans" w:cs="Liberation Sans" w:ascii="Liberation Sans" w:hAnsi="Liberation Sans"/>
        <w:color w:val="000000"/>
      </w:rPr>
      <w:t>0</w:t>
    </w:r>
    <w:r>
      <w:rPr>
        <w:sz w:val="16"/>
        <w:b/>
        <w:szCs w:val="16"/>
        <w:rFonts w:eastAsia="Liberation Sans" w:cs="Liberation Sans" w:ascii="Liberation Sans" w:hAnsi="Liberation Sans"/>
        <w:color w:val="000000"/>
      </w:rPr>
      <w:fldChar w:fldCharType="end"/>
    </w:r>
    <w:r>
      <w:rPr>
        <w:rFonts w:eastAsia="Liberation Sans" w:cs="Liberation Sans" w:ascii="Liberation Sans" w:hAnsi="Liberation Sans"/>
        <w:color w:val="000000"/>
        <w:sz w:val="16"/>
        <w:szCs w:val="16"/>
      </w:rPr>
      <w:t xml:space="preserve"> de </w:t>
    </w:r>
    <w:r>
      <w:rPr>
        <w:rFonts w:eastAsia="Liberation Sans" w:cs="Liberation Sans" w:ascii="Liberation Sans" w:hAnsi="Liberation Sans"/>
        <w:b/>
        <w:color w:val="000000"/>
        <w:sz w:val="16"/>
        <w:szCs w:val="16"/>
      </w:rPr>
      <w:fldChar w:fldCharType="begin"/>
    </w:r>
    <w:r>
      <w:rPr>
        <w:sz w:val="16"/>
        <w:b/>
        <w:szCs w:val="16"/>
        <w:rFonts w:eastAsia="Liberation Sans" w:cs="Liberation Sans" w:ascii="Liberation Sans" w:hAnsi="Liberation Sans"/>
        <w:color w:val="000000"/>
      </w:rPr>
      <w:instrText xml:space="preserve"> NUMPAGES </w:instrText>
    </w:r>
    <w:r>
      <w:rPr>
        <w:sz w:val="16"/>
        <w:b/>
        <w:szCs w:val="16"/>
        <w:rFonts w:eastAsia="Liberation Sans" w:cs="Liberation Sans" w:ascii="Liberation Sans" w:hAnsi="Liberation Sans"/>
        <w:color w:val="000000"/>
      </w:rPr>
      <w:fldChar w:fldCharType="separate"/>
    </w:r>
    <w:r>
      <w:rPr>
        <w:sz w:val="16"/>
        <w:b/>
        <w:szCs w:val="16"/>
        <w:rFonts w:eastAsia="Liberation Sans" w:cs="Liberation Sans" w:ascii="Liberation Sans" w:hAnsi="Liberation Sans"/>
        <w:color w:val="000000"/>
      </w:rPr>
      <w:t>55</w:t>
    </w:r>
    <w:r>
      <w:rPr>
        <w:sz w:val="16"/>
        <w:b/>
        <w:szCs w:val="16"/>
        <w:rFonts w:eastAsia="Liberation Sans" w:cs="Liberation Sans" w:ascii="Liberation Sans" w:hAnsi="Liberation Sans"/>
        <w:color w:val="000000"/>
      </w:rPr>
      <w:fldChar w:fldCharType="end"/>
    </w:r>
    <w:r>
      <w:rPr>
        <w:rFonts w:eastAsia="Liberation Sans" w:cs="Liberation Sans" w:ascii="Liberation Sans" w:hAnsi="Liberation Sans"/>
        <w:color w:val="000000"/>
        <w:sz w:val="16"/>
        <w:szCs w:val="16"/>
      </w:rPr>
      <w:tab/>
      <w:t>30/06/2022</w:t>
    </w:r>
  </w:p>
  <w:p>
    <w:pPr>
      <w:pStyle w:val="Normal"/>
      <w:pBdr/>
      <w:tabs>
        <w:tab w:val="clear" w:pos="720"/>
        <w:tab w:val="center" w:pos="4252" w:leader="none"/>
        <w:tab w:val="right" w:pos="8504" w:leader="none"/>
      </w:tabs>
      <w:ind w:hanging="2"/>
      <w:rPr>
        <w:color w:val="000000"/>
      </w:rPr>
    </w:pPr>
    <w:r>
      <w:rPr>
        <w:color w:val="000000"/>
      </w:rPr>
    </w:r>
  </w:p>
</w:ftr>
</file>

<file path=word/footer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tabs>
        <w:tab w:val="clear" w:pos="720"/>
        <w:tab w:val="center" w:pos="4252" w:leader="none"/>
        <w:tab w:val="right" w:pos="8504" w:leader="none"/>
      </w:tabs>
      <w:ind w:hanging="2"/>
      <w:jc w:val="right"/>
      <w:rPr>
        <w:color w:val="000000"/>
      </w:rPr>
    </w:pPr>
    <w:r>
      <w:rPr>
        <w:color w:val="000000"/>
      </w:rPr>
    </w:r>
  </w:p>
  <w:p>
    <w:pPr>
      <w:pStyle w:val="Normal"/>
      <w:pBdr/>
      <w:tabs>
        <w:tab w:val="clear" w:pos="720"/>
        <w:tab w:val="center" w:pos="4252" w:leader="none"/>
        <w:tab w:val="right" w:pos="8504" w:leader="none"/>
        <w:tab w:val="right" w:pos="10065" w:leader="none"/>
      </w:tabs>
      <w:ind w:hanging="2"/>
      <w:rPr>
        <w:color w:val="000000"/>
      </w:rPr>
    </w:pPr>
    <w:r>
      <w:rPr>
        <w:color w:val="000000"/>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keepNext w:val="true"/>
      <w:widowControl w:val="false"/>
      <w:pBdr/>
      <w:ind w:hanging="2"/>
      <w:jc w:val="both"/>
      <w:rPr>
        <w:b/>
        <w:b/>
        <w:color w:val="000000"/>
      </w:rPr>
    </w:pPr>
    <w:r>
      <w:rPr>
        <w:rFonts w:eastAsia="Times New Roman" w:cs="Times New Roman" w:ascii="Times New Roman" w:hAnsi="Times New Roman"/>
        <w:b/>
        <w:color w:val="000000"/>
        <w:sz w:val="20"/>
        <w:szCs w:val="20"/>
      </w:rPr>
      <w:t xml:space="preserve">CURSO/GRUPO/CICLO: 1ºAFI A Y B CFGS ADMINISTRACIÓN Y FINANZAS </w:t>
    </w:r>
  </w:p>
  <w:p>
    <w:pPr>
      <w:pStyle w:val="Normal"/>
      <w:pBdr>
        <w:bottom w:val="single" w:sz="4" w:space="1" w:color="000000"/>
      </w:pBdr>
      <w:ind w:hanging="2"/>
      <w:jc w:val="both"/>
      <w:rPr/>
    </w:pPr>
    <w:r>
      <w:rPr>
        <w:rFonts w:eastAsia="Times New Roman" w:cs="Times New Roman" w:ascii="Times New Roman" w:hAnsi="Times New Roman"/>
        <w:b/>
        <w:sz w:val="20"/>
        <w:szCs w:val="20"/>
      </w:rPr>
      <w:t>MÓDULO</w:t>
    </w:r>
    <w:r>
      <w:rPr>
        <w:rFonts w:eastAsia="Times New Roman" w:cs="Times New Roman" w:ascii="Times New Roman" w:hAnsi="Times New Roman"/>
        <w:sz w:val="20"/>
        <w:szCs w:val="20"/>
      </w:rPr>
      <w:t>: COMUNICACIÓN Y ATENCIÓN AL CLIENTE</w:t>
    </w:r>
  </w:p>
  <w:p>
    <w:pPr>
      <w:pStyle w:val="Normal"/>
      <w:pBdr/>
      <w:tabs>
        <w:tab w:val="clear" w:pos="720"/>
        <w:tab w:val="center" w:pos="4252" w:leader="none"/>
        <w:tab w:val="right" w:pos="8504" w:leader="none"/>
      </w:tabs>
      <w:ind w:hanging="2"/>
      <w:rPr>
        <w:color w:val="000000"/>
      </w:rPr>
    </w:pPr>
    <w:r>
      <w:rPr>
        <w:color w:val="000000"/>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keepNext w:val="true"/>
      <w:widowControl w:val="false"/>
      <w:pBdr/>
      <w:ind w:hanging="2"/>
      <w:jc w:val="both"/>
      <w:rPr>
        <w:b/>
        <w:b/>
        <w:color w:val="000000"/>
      </w:rPr>
    </w:pPr>
    <w:r>
      <w:rPr>
        <w:rFonts w:eastAsia="Times New Roman" w:cs="Times New Roman" w:ascii="Times New Roman" w:hAnsi="Times New Roman"/>
        <w:b/>
        <w:color w:val="000000"/>
        <w:sz w:val="20"/>
        <w:szCs w:val="20"/>
      </w:rPr>
      <w:t xml:space="preserve">CURSO/GRUPO/CICLO: 1ºAFI A Y B CFGS ADMINISTRACIÓN Y FINANZAS </w:t>
    </w:r>
  </w:p>
  <w:p>
    <w:pPr>
      <w:pStyle w:val="Normal"/>
      <w:pBdr>
        <w:bottom w:val="single" w:sz="4" w:space="1" w:color="000000"/>
      </w:pBdr>
      <w:ind w:hanging="2"/>
      <w:jc w:val="both"/>
      <w:rPr/>
    </w:pPr>
    <w:r>
      <w:rPr>
        <w:rFonts w:eastAsia="Times New Roman" w:cs="Times New Roman" w:ascii="Times New Roman" w:hAnsi="Times New Roman"/>
        <w:b/>
        <w:sz w:val="20"/>
        <w:szCs w:val="20"/>
      </w:rPr>
      <w:t>MÓDULO</w:t>
    </w:r>
    <w:r>
      <w:rPr>
        <w:rFonts w:eastAsia="Times New Roman" w:cs="Times New Roman" w:ascii="Times New Roman" w:hAnsi="Times New Roman"/>
        <w:sz w:val="20"/>
        <w:szCs w:val="20"/>
      </w:rPr>
      <w:t>: COMUNICACIÓN Y ATENCIÓN AL CLIENTE</w:t>
    </w:r>
  </w:p>
  <w:p>
    <w:pPr>
      <w:pStyle w:val="Normal"/>
      <w:pBdr/>
      <w:tabs>
        <w:tab w:val="clear" w:pos="720"/>
        <w:tab w:val="center" w:pos="4252" w:leader="none"/>
        <w:tab w:val="right" w:pos="8504" w:leader="none"/>
      </w:tabs>
      <w:ind w:hanging="2"/>
      <w:rPr>
        <w:color w:val="000000"/>
      </w:rPr>
    </w:pPr>
    <w:r>
      <w:rPr>
        <w:color w:val="000000"/>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keepNext w:val="true"/>
      <w:widowControl w:val="false"/>
      <w:pBdr/>
      <w:ind w:hanging="2"/>
      <w:jc w:val="both"/>
      <w:rPr>
        <w:b/>
        <w:b/>
        <w:color w:val="000000"/>
      </w:rPr>
    </w:pPr>
    <w:r>
      <w:rPr>
        <w:rFonts w:eastAsia="Times New Roman" w:cs="Times New Roman" w:ascii="Times New Roman" w:hAnsi="Times New Roman"/>
        <w:b/>
        <w:color w:val="000000"/>
        <w:sz w:val="20"/>
        <w:szCs w:val="20"/>
      </w:rPr>
      <w:t xml:space="preserve">CURSO/GRUPO/CICLO: 1ºAFI A Y B CFGS ADMINISTRACIÓN Y FINANZAS </w:t>
    </w:r>
  </w:p>
  <w:p>
    <w:pPr>
      <w:pStyle w:val="Normal"/>
      <w:pBdr>
        <w:bottom w:val="single" w:sz="4" w:space="1" w:color="000000"/>
      </w:pBdr>
      <w:ind w:hanging="2"/>
      <w:jc w:val="both"/>
      <w:rPr/>
    </w:pPr>
    <w:r>
      <w:rPr>
        <w:rFonts w:eastAsia="Times New Roman" w:cs="Times New Roman" w:ascii="Times New Roman" w:hAnsi="Times New Roman"/>
        <w:b/>
        <w:sz w:val="20"/>
        <w:szCs w:val="20"/>
      </w:rPr>
      <w:t>MÓDULO</w:t>
    </w:r>
    <w:r>
      <w:rPr>
        <w:rFonts w:eastAsia="Times New Roman" w:cs="Times New Roman" w:ascii="Times New Roman" w:hAnsi="Times New Roman"/>
        <w:sz w:val="20"/>
        <w:szCs w:val="20"/>
      </w:rPr>
      <w:t>: COMUNICACIÓN Y ATENCIÓN AL CLIENTE</w:t>
    </w:r>
  </w:p>
  <w:p>
    <w:pPr>
      <w:pStyle w:val="Normal"/>
      <w:pBdr/>
      <w:tabs>
        <w:tab w:val="clear" w:pos="720"/>
        <w:tab w:val="center" w:pos="4252" w:leader="none"/>
        <w:tab w:val="right" w:pos="8504" w:leader="none"/>
      </w:tabs>
      <w:ind w:hanging="2"/>
      <w:rPr>
        <w:color w:val="000000"/>
      </w:rPr>
    </w:pPr>
    <w:r>
      <w:rPr>
        <w:color w:val="000000"/>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7"/>
      <w:numFmt w:val="decimal"/>
      <w:lvlText w:val="%1"/>
      <w:lvlJc w:val="left"/>
      <w:pPr>
        <w:tabs>
          <w:tab w:val="num" w:pos="0"/>
        </w:tabs>
        <w:ind w:left="360" w:hanging="360"/>
      </w:pPr>
      <w:rPr>
        <w:vertAlign w:val="baseline"/>
        <w:position w:val="0"/>
        <w:sz w:val="24"/>
      </w:rPr>
    </w:lvl>
    <w:lvl w:ilvl="1">
      <w:start w:val="3"/>
      <w:numFmt w:val="decimal"/>
      <w:lvlText w:val="%1.%2"/>
      <w:lvlJc w:val="left"/>
      <w:pPr>
        <w:tabs>
          <w:tab w:val="num" w:pos="0"/>
        </w:tabs>
        <w:ind w:left="1146" w:hanging="360"/>
      </w:pPr>
      <w:rPr>
        <w:vertAlign w:val="baseline"/>
        <w:position w:val="0"/>
        <w:sz w:val="24"/>
      </w:rPr>
    </w:lvl>
    <w:lvl w:ilvl="2">
      <w:start w:val="1"/>
      <w:numFmt w:val="decimal"/>
      <w:lvlText w:val="%1.%2.%3"/>
      <w:lvlJc w:val="left"/>
      <w:pPr>
        <w:tabs>
          <w:tab w:val="num" w:pos="0"/>
        </w:tabs>
        <w:ind w:left="2292" w:hanging="720"/>
      </w:pPr>
      <w:rPr>
        <w:vertAlign w:val="baseline"/>
        <w:position w:val="0"/>
        <w:sz w:val="24"/>
      </w:rPr>
    </w:lvl>
    <w:lvl w:ilvl="3">
      <w:start w:val="1"/>
      <w:numFmt w:val="decimal"/>
      <w:lvlText w:val="%1.%2.%3.%4"/>
      <w:lvlJc w:val="left"/>
      <w:pPr>
        <w:tabs>
          <w:tab w:val="num" w:pos="0"/>
        </w:tabs>
        <w:ind w:left="3438" w:hanging="1080"/>
      </w:pPr>
      <w:rPr>
        <w:vertAlign w:val="baseline"/>
        <w:position w:val="0"/>
        <w:sz w:val="24"/>
      </w:rPr>
    </w:lvl>
    <w:lvl w:ilvl="4">
      <w:start w:val="1"/>
      <w:numFmt w:val="decimal"/>
      <w:lvlText w:val="%1.%2.%3.%4.%5"/>
      <w:lvlJc w:val="left"/>
      <w:pPr>
        <w:tabs>
          <w:tab w:val="num" w:pos="0"/>
        </w:tabs>
        <w:ind w:left="4224" w:hanging="1080"/>
      </w:pPr>
      <w:rPr>
        <w:vertAlign w:val="baseline"/>
        <w:position w:val="0"/>
        <w:sz w:val="24"/>
      </w:rPr>
    </w:lvl>
    <w:lvl w:ilvl="5">
      <w:start w:val="1"/>
      <w:numFmt w:val="decimal"/>
      <w:lvlText w:val="%1.%2.%3.%4.%5.%6"/>
      <w:lvlJc w:val="left"/>
      <w:pPr>
        <w:tabs>
          <w:tab w:val="num" w:pos="0"/>
        </w:tabs>
        <w:ind w:left="5370" w:hanging="1440"/>
      </w:pPr>
      <w:rPr>
        <w:vertAlign w:val="baseline"/>
        <w:position w:val="0"/>
        <w:sz w:val="24"/>
      </w:rPr>
    </w:lvl>
    <w:lvl w:ilvl="6">
      <w:start w:val="1"/>
      <w:numFmt w:val="decimal"/>
      <w:lvlText w:val="%1.%2.%3.%4.%5.%6.%7"/>
      <w:lvlJc w:val="left"/>
      <w:pPr>
        <w:tabs>
          <w:tab w:val="num" w:pos="0"/>
        </w:tabs>
        <w:ind w:left="6156" w:hanging="1440"/>
      </w:pPr>
      <w:rPr>
        <w:vertAlign w:val="baseline"/>
        <w:position w:val="0"/>
        <w:sz w:val="24"/>
      </w:rPr>
    </w:lvl>
    <w:lvl w:ilvl="7">
      <w:start w:val="1"/>
      <w:numFmt w:val="decimal"/>
      <w:lvlText w:val="%1.%2.%3.%4.%5.%6.%7.%8"/>
      <w:lvlJc w:val="left"/>
      <w:pPr>
        <w:tabs>
          <w:tab w:val="num" w:pos="0"/>
        </w:tabs>
        <w:ind w:left="7302" w:hanging="1800"/>
      </w:pPr>
      <w:rPr>
        <w:vertAlign w:val="baseline"/>
        <w:position w:val="0"/>
        <w:sz w:val="24"/>
      </w:rPr>
    </w:lvl>
    <w:lvl w:ilvl="8">
      <w:start w:val="1"/>
      <w:numFmt w:val="decimal"/>
      <w:lvlText w:val="%1.%2.%3.%4.%5.%6.%7.%8.%9"/>
      <w:lvlJc w:val="left"/>
      <w:pPr>
        <w:tabs>
          <w:tab w:val="num" w:pos="0"/>
        </w:tabs>
        <w:ind w:left="8088" w:hanging="1800"/>
      </w:pPr>
      <w:rPr>
        <w:vertAlign w:val="baseline"/>
        <w:position w:val="0"/>
        <w:sz w:val="24"/>
      </w:rPr>
    </w:lvl>
  </w:abstractNum>
  <w:abstractNum w:abstractNumId="2">
    <w:lvl w:ilvl="0">
      <w:start w:val="1"/>
      <w:numFmt w:val="decimal"/>
      <w:lvlText w:val="%1."/>
      <w:lvlJc w:val="left"/>
      <w:pPr>
        <w:tabs>
          <w:tab w:val="num" w:pos="0"/>
        </w:tabs>
        <w:ind w:left="360" w:hanging="360"/>
      </w:pPr>
      <w:rPr>
        <w:vertAlign w:val="baseline"/>
        <w:position w:val="0"/>
        <w:sz w:val="24"/>
        <w:b w:val="false"/>
        <w:color w:val="000000"/>
      </w:rPr>
    </w:lvl>
    <w:lvl w:ilvl="1">
      <w:start w:val="1"/>
      <w:numFmt w:val="decimal"/>
      <w:lvlText w:val="%1.%2."/>
      <w:lvlJc w:val="left"/>
      <w:pPr>
        <w:tabs>
          <w:tab w:val="num" w:pos="0"/>
        </w:tabs>
        <w:ind w:left="792" w:hanging="432"/>
      </w:pPr>
      <w:rPr>
        <w:vertAlign w:val="baseline"/>
        <w:position w:val="0"/>
        <w:sz w:val="24"/>
      </w:rPr>
    </w:lvl>
    <w:lvl w:ilvl="2">
      <w:start w:val="1"/>
      <w:numFmt w:val="decimal"/>
      <w:lvlText w:val="%1.%2.%3."/>
      <w:lvlJc w:val="left"/>
      <w:pPr>
        <w:tabs>
          <w:tab w:val="num" w:pos="0"/>
        </w:tabs>
        <w:ind w:left="1224" w:hanging="504"/>
      </w:pPr>
      <w:rPr>
        <w:vertAlign w:val="baseline"/>
        <w:position w:val="0"/>
        <w:sz w:val="24"/>
      </w:rPr>
    </w:lvl>
    <w:lvl w:ilvl="3">
      <w:start w:val="1"/>
      <w:numFmt w:val="decimal"/>
      <w:lvlText w:val="%1.%2.%3.%4."/>
      <w:lvlJc w:val="left"/>
      <w:pPr>
        <w:tabs>
          <w:tab w:val="num" w:pos="0"/>
        </w:tabs>
        <w:ind w:left="1728" w:hanging="647"/>
      </w:pPr>
      <w:rPr>
        <w:vertAlign w:val="baseline"/>
        <w:position w:val="0"/>
        <w:sz w:val="24"/>
      </w:rPr>
    </w:lvl>
    <w:lvl w:ilvl="4">
      <w:start w:val="1"/>
      <w:numFmt w:val="decimal"/>
      <w:lvlText w:val="%1.%2.%3.%4.%5."/>
      <w:lvlJc w:val="left"/>
      <w:pPr>
        <w:tabs>
          <w:tab w:val="num" w:pos="0"/>
        </w:tabs>
        <w:ind w:left="2232" w:hanging="792"/>
      </w:pPr>
      <w:rPr>
        <w:vertAlign w:val="baseline"/>
        <w:position w:val="0"/>
        <w:sz w:val="24"/>
      </w:rPr>
    </w:lvl>
    <w:lvl w:ilvl="5">
      <w:start w:val="1"/>
      <w:numFmt w:val="decimal"/>
      <w:lvlText w:val="%1.%2.%3.%4.%5.%6."/>
      <w:lvlJc w:val="left"/>
      <w:pPr>
        <w:tabs>
          <w:tab w:val="num" w:pos="0"/>
        </w:tabs>
        <w:ind w:left="2736" w:hanging="933"/>
      </w:pPr>
      <w:rPr>
        <w:vertAlign w:val="baseline"/>
        <w:position w:val="0"/>
        <w:sz w:val="24"/>
      </w:rPr>
    </w:lvl>
    <w:lvl w:ilvl="6">
      <w:start w:val="1"/>
      <w:numFmt w:val="decimal"/>
      <w:lvlText w:val="%1.%2.%3.%4.%5.%6.%7."/>
      <w:lvlJc w:val="left"/>
      <w:pPr>
        <w:tabs>
          <w:tab w:val="num" w:pos="0"/>
        </w:tabs>
        <w:ind w:left="3240" w:hanging="1080"/>
      </w:pPr>
      <w:rPr>
        <w:vertAlign w:val="baseline"/>
        <w:position w:val="0"/>
        <w:sz w:val="24"/>
      </w:rPr>
    </w:lvl>
    <w:lvl w:ilvl="7">
      <w:start w:val="1"/>
      <w:numFmt w:val="decimal"/>
      <w:lvlText w:val="%1.%2.%3.%4.%5.%6.%7.%8."/>
      <w:lvlJc w:val="left"/>
      <w:pPr>
        <w:tabs>
          <w:tab w:val="num" w:pos="0"/>
        </w:tabs>
        <w:ind w:left="3744" w:hanging="1224"/>
      </w:pPr>
      <w:rPr>
        <w:vertAlign w:val="baseline"/>
        <w:position w:val="0"/>
        <w:sz w:val="24"/>
      </w:rPr>
    </w:lvl>
    <w:lvl w:ilvl="8">
      <w:start w:val="1"/>
      <w:numFmt w:val="decimal"/>
      <w:lvlText w:val="%1.%2.%3.%4.%5.%6.%7.%8.%9."/>
      <w:lvlJc w:val="left"/>
      <w:pPr>
        <w:tabs>
          <w:tab w:val="num" w:pos="0"/>
        </w:tabs>
        <w:ind w:left="4320" w:hanging="1440"/>
      </w:pPr>
      <w:rPr>
        <w:vertAlign w:val="baseline"/>
        <w:position w:val="0"/>
        <w:sz w:val="24"/>
      </w:rPr>
    </w:lvl>
  </w:abstractNum>
  <w:abstractNum w:abstractNumId="3">
    <w:lvl w:ilvl="0">
      <w:start w:val="1"/>
      <w:numFmt w:val="decimal"/>
      <w:lvlText w:val="%1."/>
      <w:lvlJc w:val="left"/>
      <w:pPr>
        <w:tabs>
          <w:tab w:val="num" w:pos="0"/>
        </w:tabs>
        <w:ind w:left="360" w:hanging="360"/>
      </w:pPr>
      <w:rPr>
        <w:vertAlign w:val="baseline"/>
        <w:position w:val="0"/>
        <w:sz w:val="24"/>
        <w:b w:val="false"/>
        <w:color w:val="000000"/>
      </w:rPr>
    </w:lvl>
    <w:lvl w:ilvl="1">
      <w:start w:val="1"/>
      <w:numFmt w:val="decimal"/>
      <w:lvlText w:val="%1.%2."/>
      <w:lvlJc w:val="left"/>
      <w:pPr>
        <w:tabs>
          <w:tab w:val="num" w:pos="0"/>
        </w:tabs>
        <w:ind w:left="792" w:hanging="432"/>
      </w:pPr>
      <w:rPr>
        <w:vertAlign w:val="baseline"/>
        <w:position w:val="0"/>
        <w:sz w:val="24"/>
      </w:rPr>
    </w:lvl>
    <w:lvl w:ilvl="2">
      <w:start w:val="1"/>
      <w:numFmt w:val="decimal"/>
      <w:lvlText w:val="%1.%2.%3."/>
      <w:lvlJc w:val="left"/>
      <w:pPr>
        <w:tabs>
          <w:tab w:val="num" w:pos="0"/>
        </w:tabs>
        <w:ind w:left="1224" w:hanging="504"/>
      </w:pPr>
      <w:rPr>
        <w:vertAlign w:val="baseline"/>
        <w:position w:val="0"/>
        <w:sz w:val="24"/>
      </w:rPr>
    </w:lvl>
    <w:lvl w:ilvl="3">
      <w:start w:val="1"/>
      <w:numFmt w:val="decimal"/>
      <w:lvlText w:val="%1.%2.%3.%4."/>
      <w:lvlJc w:val="left"/>
      <w:pPr>
        <w:tabs>
          <w:tab w:val="num" w:pos="0"/>
        </w:tabs>
        <w:ind w:left="1728" w:hanging="647"/>
      </w:pPr>
      <w:rPr>
        <w:vertAlign w:val="baseline"/>
        <w:position w:val="0"/>
        <w:sz w:val="24"/>
      </w:rPr>
    </w:lvl>
    <w:lvl w:ilvl="4">
      <w:start w:val="1"/>
      <w:numFmt w:val="decimal"/>
      <w:lvlText w:val="%1.%2.%3.%4.%5."/>
      <w:lvlJc w:val="left"/>
      <w:pPr>
        <w:tabs>
          <w:tab w:val="num" w:pos="0"/>
        </w:tabs>
        <w:ind w:left="2232" w:hanging="792"/>
      </w:pPr>
      <w:rPr>
        <w:vertAlign w:val="baseline"/>
        <w:position w:val="0"/>
        <w:sz w:val="24"/>
      </w:rPr>
    </w:lvl>
    <w:lvl w:ilvl="5">
      <w:start w:val="1"/>
      <w:numFmt w:val="decimal"/>
      <w:lvlText w:val="%1.%2.%3.%4.%5.%6."/>
      <w:lvlJc w:val="left"/>
      <w:pPr>
        <w:tabs>
          <w:tab w:val="num" w:pos="0"/>
        </w:tabs>
        <w:ind w:left="2736" w:hanging="933"/>
      </w:pPr>
      <w:rPr>
        <w:vertAlign w:val="baseline"/>
        <w:position w:val="0"/>
        <w:sz w:val="24"/>
      </w:rPr>
    </w:lvl>
    <w:lvl w:ilvl="6">
      <w:start w:val="1"/>
      <w:numFmt w:val="decimal"/>
      <w:lvlText w:val="%1.%2.%3.%4.%5.%6.%7."/>
      <w:lvlJc w:val="left"/>
      <w:pPr>
        <w:tabs>
          <w:tab w:val="num" w:pos="0"/>
        </w:tabs>
        <w:ind w:left="3240" w:hanging="1080"/>
      </w:pPr>
      <w:rPr>
        <w:vertAlign w:val="baseline"/>
        <w:position w:val="0"/>
        <w:sz w:val="24"/>
      </w:rPr>
    </w:lvl>
    <w:lvl w:ilvl="7">
      <w:start w:val="1"/>
      <w:numFmt w:val="decimal"/>
      <w:lvlText w:val="%1.%2.%3.%4.%5.%6.%7.%8."/>
      <w:lvlJc w:val="left"/>
      <w:pPr>
        <w:tabs>
          <w:tab w:val="num" w:pos="0"/>
        </w:tabs>
        <w:ind w:left="3744" w:hanging="1224"/>
      </w:pPr>
      <w:rPr>
        <w:vertAlign w:val="baseline"/>
        <w:position w:val="0"/>
        <w:sz w:val="24"/>
      </w:rPr>
    </w:lvl>
    <w:lvl w:ilvl="8">
      <w:start w:val="1"/>
      <w:numFmt w:val="decimal"/>
      <w:lvlText w:val="%1.%2.%3.%4.%5.%6.%7.%8.%9."/>
      <w:lvlJc w:val="left"/>
      <w:pPr>
        <w:tabs>
          <w:tab w:val="num" w:pos="0"/>
        </w:tabs>
        <w:ind w:left="4320" w:hanging="1440"/>
      </w:pPr>
      <w:rPr>
        <w:vertAlign w:val="baseline"/>
        <w:position w:val="0"/>
        <w:sz w:val="24"/>
      </w:rPr>
    </w:lvl>
  </w:abstractNum>
  <w:abstractNum w:abstractNumId="4">
    <w:lvl w:ilvl="0">
      <w:start w:val="1"/>
      <w:numFmt w:val="decimal"/>
      <w:lvlText w:val="%1."/>
      <w:lvlJc w:val="left"/>
      <w:pPr>
        <w:tabs>
          <w:tab w:val="num" w:pos="0"/>
        </w:tabs>
        <w:ind w:left="360" w:hanging="360"/>
      </w:pPr>
      <w:rPr>
        <w:vertAlign w:val="baseline"/>
        <w:position w:val="0"/>
        <w:sz w:val="24"/>
        <w:b w:val="false"/>
        <w:color w:val="000000"/>
      </w:rPr>
    </w:lvl>
    <w:lvl w:ilvl="1">
      <w:start w:val="1"/>
      <w:numFmt w:val="decimal"/>
      <w:lvlText w:val="%1.%2."/>
      <w:lvlJc w:val="left"/>
      <w:pPr>
        <w:tabs>
          <w:tab w:val="num" w:pos="0"/>
        </w:tabs>
        <w:ind w:left="792" w:hanging="432"/>
      </w:pPr>
      <w:rPr>
        <w:vertAlign w:val="baseline"/>
        <w:position w:val="0"/>
        <w:sz w:val="24"/>
      </w:rPr>
    </w:lvl>
    <w:lvl w:ilvl="2">
      <w:start w:val="1"/>
      <w:numFmt w:val="decimal"/>
      <w:lvlText w:val="%1.%2.%3."/>
      <w:lvlJc w:val="left"/>
      <w:pPr>
        <w:tabs>
          <w:tab w:val="num" w:pos="0"/>
        </w:tabs>
        <w:ind w:left="1224" w:hanging="504"/>
      </w:pPr>
      <w:rPr>
        <w:vertAlign w:val="baseline"/>
        <w:position w:val="0"/>
        <w:sz w:val="24"/>
      </w:rPr>
    </w:lvl>
    <w:lvl w:ilvl="3">
      <w:start w:val="1"/>
      <w:numFmt w:val="decimal"/>
      <w:lvlText w:val="%1.%2.%3.%4."/>
      <w:lvlJc w:val="left"/>
      <w:pPr>
        <w:tabs>
          <w:tab w:val="num" w:pos="0"/>
        </w:tabs>
        <w:ind w:left="1728" w:hanging="647"/>
      </w:pPr>
      <w:rPr>
        <w:vertAlign w:val="baseline"/>
        <w:position w:val="0"/>
        <w:sz w:val="24"/>
      </w:rPr>
    </w:lvl>
    <w:lvl w:ilvl="4">
      <w:start w:val="1"/>
      <w:numFmt w:val="decimal"/>
      <w:lvlText w:val="%1.%2.%3.%4.%5."/>
      <w:lvlJc w:val="left"/>
      <w:pPr>
        <w:tabs>
          <w:tab w:val="num" w:pos="0"/>
        </w:tabs>
        <w:ind w:left="2232" w:hanging="792"/>
      </w:pPr>
      <w:rPr>
        <w:vertAlign w:val="baseline"/>
        <w:position w:val="0"/>
        <w:sz w:val="24"/>
      </w:rPr>
    </w:lvl>
    <w:lvl w:ilvl="5">
      <w:start w:val="1"/>
      <w:numFmt w:val="decimal"/>
      <w:lvlText w:val="%1.%2.%3.%4.%5.%6."/>
      <w:lvlJc w:val="left"/>
      <w:pPr>
        <w:tabs>
          <w:tab w:val="num" w:pos="0"/>
        </w:tabs>
        <w:ind w:left="2736" w:hanging="933"/>
      </w:pPr>
      <w:rPr>
        <w:vertAlign w:val="baseline"/>
        <w:position w:val="0"/>
        <w:sz w:val="24"/>
      </w:rPr>
    </w:lvl>
    <w:lvl w:ilvl="6">
      <w:start w:val="1"/>
      <w:numFmt w:val="decimal"/>
      <w:lvlText w:val="%1.%2.%3.%4.%5.%6.%7."/>
      <w:lvlJc w:val="left"/>
      <w:pPr>
        <w:tabs>
          <w:tab w:val="num" w:pos="0"/>
        </w:tabs>
        <w:ind w:left="3240" w:hanging="1080"/>
      </w:pPr>
      <w:rPr>
        <w:vertAlign w:val="baseline"/>
        <w:position w:val="0"/>
        <w:sz w:val="24"/>
      </w:rPr>
    </w:lvl>
    <w:lvl w:ilvl="7">
      <w:start w:val="1"/>
      <w:numFmt w:val="decimal"/>
      <w:lvlText w:val="%1.%2.%3.%4.%5.%6.%7.%8."/>
      <w:lvlJc w:val="left"/>
      <w:pPr>
        <w:tabs>
          <w:tab w:val="num" w:pos="0"/>
        </w:tabs>
        <w:ind w:left="3744" w:hanging="1224"/>
      </w:pPr>
      <w:rPr>
        <w:vertAlign w:val="baseline"/>
        <w:position w:val="0"/>
        <w:sz w:val="24"/>
      </w:rPr>
    </w:lvl>
    <w:lvl w:ilvl="8">
      <w:start w:val="1"/>
      <w:numFmt w:val="decimal"/>
      <w:lvlText w:val="%1.%2.%3.%4.%5.%6.%7.%8.%9."/>
      <w:lvlJc w:val="left"/>
      <w:pPr>
        <w:tabs>
          <w:tab w:val="num" w:pos="0"/>
        </w:tabs>
        <w:ind w:left="4320" w:hanging="1440"/>
      </w:pPr>
      <w:rPr>
        <w:vertAlign w:val="baseline"/>
        <w:position w:val="0"/>
        <w:sz w:val="24"/>
      </w:rPr>
    </w:lvl>
  </w:abstractNum>
  <w:abstractNum w:abstractNumId="5">
    <w:lvl w:ilvl="0">
      <w:start w:val="1"/>
      <w:numFmt w:val="bullet"/>
      <w:lvlText w:val="●"/>
      <w:lvlJc w:val="left"/>
      <w:pPr>
        <w:tabs>
          <w:tab w:val="num" w:pos="0"/>
        </w:tabs>
        <w:ind w:left="720" w:hanging="360"/>
      </w:pPr>
      <w:rPr>
        <w:rFonts w:ascii="Noto Sans" w:hAnsi="Noto Sans" w:cs="Noto Sans" w:hint="default"/>
        <w:vertAlign w:val="baseline"/>
        <w:position w:val="0"/>
        <w:sz w:val="24"/>
      </w:rPr>
    </w:lvl>
    <w:lvl w:ilvl="1">
      <w:start w:val="1"/>
      <w:numFmt w:val="bullet"/>
      <w:lvlText w:val="o"/>
      <w:lvlJc w:val="left"/>
      <w:pPr>
        <w:tabs>
          <w:tab w:val="num" w:pos="0"/>
        </w:tabs>
        <w:ind w:left="1440" w:hanging="360"/>
      </w:pPr>
      <w:rPr>
        <w:rFonts w:ascii="Courier New" w:hAnsi="Courier New" w:cs="Courier New" w:hint="default"/>
        <w:vertAlign w:val="baseline"/>
        <w:position w:val="0"/>
        <w:sz w:val="24"/>
      </w:rPr>
    </w:lvl>
    <w:lvl w:ilvl="2">
      <w:start w:val="1"/>
      <w:numFmt w:val="bullet"/>
      <w:lvlText w:val="▪"/>
      <w:lvlJc w:val="left"/>
      <w:pPr>
        <w:tabs>
          <w:tab w:val="num" w:pos="0"/>
        </w:tabs>
        <w:ind w:left="2160" w:hanging="360"/>
      </w:pPr>
      <w:rPr>
        <w:rFonts w:ascii="Noto Sans" w:hAnsi="Noto Sans" w:cs="Noto Sans" w:hint="default"/>
        <w:vertAlign w:val="baseline"/>
        <w:position w:val="0"/>
        <w:sz w:val="24"/>
      </w:rPr>
    </w:lvl>
    <w:lvl w:ilvl="3">
      <w:start w:val="1"/>
      <w:numFmt w:val="bullet"/>
      <w:lvlText w:val="●"/>
      <w:lvlJc w:val="left"/>
      <w:pPr>
        <w:tabs>
          <w:tab w:val="num" w:pos="0"/>
        </w:tabs>
        <w:ind w:left="2880" w:hanging="360"/>
      </w:pPr>
      <w:rPr>
        <w:rFonts w:ascii="Noto Sans" w:hAnsi="Noto Sans" w:cs="Noto Sans" w:hint="default"/>
        <w:vertAlign w:val="baseline"/>
        <w:position w:val="0"/>
        <w:sz w:val="24"/>
      </w:rPr>
    </w:lvl>
    <w:lvl w:ilvl="4">
      <w:start w:val="1"/>
      <w:numFmt w:val="bullet"/>
      <w:lvlText w:val="o"/>
      <w:lvlJc w:val="left"/>
      <w:pPr>
        <w:tabs>
          <w:tab w:val="num" w:pos="0"/>
        </w:tabs>
        <w:ind w:left="3600" w:hanging="360"/>
      </w:pPr>
      <w:rPr>
        <w:rFonts w:ascii="Courier New" w:hAnsi="Courier New" w:cs="Courier New" w:hint="default"/>
        <w:vertAlign w:val="baseline"/>
        <w:position w:val="0"/>
        <w:sz w:val="24"/>
      </w:rPr>
    </w:lvl>
    <w:lvl w:ilvl="5">
      <w:start w:val="1"/>
      <w:numFmt w:val="bullet"/>
      <w:lvlText w:val="▪"/>
      <w:lvlJc w:val="left"/>
      <w:pPr>
        <w:tabs>
          <w:tab w:val="num" w:pos="0"/>
        </w:tabs>
        <w:ind w:left="4320" w:hanging="360"/>
      </w:pPr>
      <w:rPr>
        <w:rFonts w:ascii="Noto Sans" w:hAnsi="Noto Sans" w:cs="Noto Sans" w:hint="default"/>
        <w:vertAlign w:val="baseline"/>
        <w:position w:val="0"/>
        <w:sz w:val="24"/>
      </w:rPr>
    </w:lvl>
    <w:lvl w:ilvl="6">
      <w:start w:val="1"/>
      <w:numFmt w:val="bullet"/>
      <w:lvlText w:val="●"/>
      <w:lvlJc w:val="left"/>
      <w:pPr>
        <w:tabs>
          <w:tab w:val="num" w:pos="0"/>
        </w:tabs>
        <w:ind w:left="5040" w:hanging="360"/>
      </w:pPr>
      <w:rPr>
        <w:rFonts w:ascii="Noto Sans" w:hAnsi="Noto Sans" w:cs="Noto Sans" w:hint="default"/>
        <w:vertAlign w:val="baseline"/>
        <w:position w:val="0"/>
        <w:sz w:val="24"/>
      </w:rPr>
    </w:lvl>
    <w:lvl w:ilvl="7">
      <w:start w:val="1"/>
      <w:numFmt w:val="bullet"/>
      <w:lvlText w:val="o"/>
      <w:lvlJc w:val="left"/>
      <w:pPr>
        <w:tabs>
          <w:tab w:val="num" w:pos="0"/>
        </w:tabs>
        <w:ind w:left="5760" w:hanging="360"/>
      </w:pPr>
      <w:rPr>
        <w:rFonts w:ascii="Courier New" w:hAnsi="Courier New" w:cs="Courier New" w:hint="default"/>
        <w:vertAlign w:val="baseline"/>
        <w:position w:val="0"/>
        <w:sz w:val="24"/>
      </w:rPr>
    </w:lvl>
    <w:lvl w:ilvl="8">
      <w:start w:val="1"/>
      <w:numFmt w:val="bullet"/>
      <w:lvlText w:val="▪"/>
      <w:lvlJc w:val="left"/>
      <w:pPr>
        <w:tabs>
          <w:tab w:val="num" w:pos="0"/>
        </w:tabs>
        <w:ind w:left="6480" w:hanging="360"/>
      </w:pPr>
      <w:rPr>
        <w:rFonts w:ascii="Noto Sans" w:hAnsi="Noto Sans" w:cs="Noto Sans" w:hint="default"/>
        <w:vertAlign w:val="baseline"/>
        <w:position w:val="0"/>
        <w:sz w:val="24"/>
      </w:rPr>
    </w:lvl>
  </w:abstractNum>
  <w:abstractNum w:abstractNumId="6">
    <w:lvl w:ilvl="0">
      <w:start w:val="1"/>
      <w:numFmt w:val="bullet"/>
      <w:lvlText w:val="−"/>
      <w:lvlJc w:val="left"/>
      <w:pPr>
        <w:tabs>
          <w:tab w:val="num" w:pos="0"/>
        </w:tabs>
        <w:ind w:left="644" w:hanging="357"/>
      </w:pPr>
      <w:rPr>
        <w:rFonts w:ascii="Noto Sans" w:hAnsi="Noto Sans" w:cs="Noto Sans" w:hint="default"/>
        <w:vertAlign w:val="baseline"/>
        <w:position w:val="0"/>
        <w:sz w:val="24"/>
      </w:rPr>
    </w:lvl>
    <w:lvl w:ilvl="1">
      <w:start w:val="1"/>
      <w:numFmt w:val="bullet"/>
      <w:lvlText w:val="o"/>
      <w:lvlJc w:val="left"/>
      <w:pPr>
        <w:tabs>
          <w:tab w:val="num" w:pos="0"/>
        </w:tabs>
        <w:ind w:left="1587" w:hanging="360"/>
      </w:pPr>
      <w:rPr>
        <w:rFonts w:ascii="Courier New" w:hAnsi="Courier New" w:cs="Courier New" w:hint="default"/>
        <w:vertAlign w:val="baseline"/>
        <w:position w:val="0"/>
        <w:sz w:val="24"/>
      </w:rPr>
    </w:lvl>
    <w:lvl w:ilvl="2">
      <w:start w:val="1"/>
      <w:numFmt w:val="bullet"/>
      <w:lvlText w:val="▪"/>
      <w:lvlJc w:val="left"/>
      <w:pPr>
        <w:tabs>
          <w:tab w:val="num" w:pos="0"/>
        </w:tabs>
        <w:ind w:left="2307" w:hanging="360"/>
      </w:pPr>
      <w:rPr>
        <w:rFonts w:ascii="Noto Sans" w:hAnsi="Noto Sans" w:cs="Noto Sans" w:hint="default"/>
        <w:vertAlign w:val="baseline"/>
        <w:position w:val="0"/>
        <w:sz w:val="24"/>
      </w:rPr>
    </w:lvl>
    <w:lvl w:ilvl="3">
      <w:start w:val="1"/>
      <w:numFmt w:val="bullet"/>
      <w:lvlText w:val="●"/>
      <w:lvlJc w:val="left"/>
      <w:pPr>
        <w:tabs>
          <w:tab w:val="num" w:pos="0"/>
        </w:tabs>
        <w:ind w:left="3027" w:hanging="360"/>
      </w:pPr>
      <w:rPr>
        <w:rFonts w:ascii="Noto Sans" w:hAnsi="Noto Sans" w:cs="Noto Sans" w:hint="default"/>
        <w:vertAlign w:val="baseline"/>
        <w:position w:val="0"/>
        <w:sz w:val="24"/>
      </w:rPr>
    </w:lvl>
    <w:lvl w:ilvl="4">
      <w:start w:val="1"/>
      <w:numFmt w:val="bullet"/>
      <w:lvlText w:val="o"/>
      <w:lvlJc w:val="left"/>
      <w:pPr>
        <w:tabs>
          <w:tab w:val="num" w:pos="0"/>
        </w:tabs>
        <w:ind w:left="3747" w:hanging="360"/>
      </w:pPr>
      <w:rPr>
        <w:rFonts w:ascii="Courier New" w:hAnsi="Courier New" w:cs="Courier New" w:hint="default"/>
        <w:vertAlign w:val="baseline"/>
        <w:position w:val="0"/>
        <w:sz w:val="24"/>
      </w:rPr>
    </w:lvl>
    <w:lvl w:ilvl="5">
      <w:start w:val="1"/>
      <w:numFmt w:val="bullet"/>
      <w:lvlText w:val="▪"/>
      <w:lvlJc w:val="left"/>
      <w:pPr>
        <w:tabs>
          <w:tab w:val="num" w:pos="0"/>
        </w:tabs>
        <w:ind w:left="4467" w:hanging="360"/>
      </w:pPr>
      <w:rPr>
        <w:rFonts w:ascii="Noto Sans" w:hAnsi="Noto Sans" w:cs="Noto Sans" w:hint="default"/>
        <w:vertAlign w:val="baseline"/>
        <w:position w:val="0"/>
        <w:sz w:val="24"/>
      </w:rPr>
    </w:lvl>
    <w:lvl w:ilvl="6">
      <w:start w:val="1"/>
      <w:numFmt w:val="bullet"/>
      <w:lvlText w:val="●"/>
      <w:lvlJc w:val="left"/>
      <w:pPr>
        <w:tabs>
          <w:tab w:val="num" w:pos="0"/>
        </w:tabs>
        <w:ind w:left="5187" w:hanging="360"/>
      </w:pPr>
      <w:rPr>
        <w:rFonts w:ascii="Noto Sans" w:hAnsi="Noto Sans" w:cs="Noto Sans" w:hint="default"/>
        <w:vertAlign w:val="baseline"/>
        <w:position w:val="0"/>
        <w:sz w:val="24"/>
      </w:rPr>
    </w:lvl>
    <w:lvl w:ilvl="7">
      <w:start w:val="1"/>
      <w:numFmt w:val="bullet"/>
      <w:lvlText w:val="o"/>
      <w:lvlJc w:val="left"/>
      <w:pPr>
        <w:tabs>
          <w:tab w:val="num" w:pos="0"/>
        </w:tabs>
        <w:ind w:left="5907" w:hanging="360"/>
      </w:pPr>
      <w:rPr>
        <w:rFonts w:ascii="Courier New" w:hAnsi="Courier New" w:cs="Courier New" w:hint="default"/>
        <w:vertAlign w:val="baseline"/>
        <w:position w:val="0"/>
        <w:sz w:val="24"/>
      </w:rPr>
    </w:lvl>
    <w:lvl w:ilvl="8">
      <w:start w:val="1"/>
      <w:numFmt w:val="bullet"/>
      <w:lvlText w:val="▪"/>
      <w:lvlJc w:val="left"/>
      <w:pPr>
        <w:tabs>
          <w:tab w:val="num" w:pos="0"/>
        </w:tabs>
        <w:ind w:left="6627" w:hanging="360"/>
      </w:pPr>
      <w:rPr>
        <w:rFonts w:ascii="Noto Sans" w:hAnsi="Noto Sans" w:cs="Noto Sans" w:hint="default"/>
        <w:vertAlign w:val="baseline"/>
        <w:position w:val="0"/>
        <w:sz w:val="24"/>
      </w:rPr>
    </w:lvl>
  </w:abstractNum>
  <w:abstractNum w:abstractNumId="7">
    <w:lvl w:ilvl="0">
      <w:start w:val="1"/>
      <w:numFmt w:val="bullet"/>
      <w:lvlText w:val="●"/>
      <w:lvlJc w:val="left"/>
      <w:pPr>
        <w:tabs>
          <w:tab w:val="num" w:pos="0"/>
        </w:tabs>
        <w:ind w:left="720" w:hanging="360"/>
      </w:pPr>
      <w:rPr>
        <w:rFonts w:ascii="Noto Sans" w:hAnsi="Noto Sans" w:cs="Noto Sans" w:hint="default"/>
        <w:vertAlign w:val="baseline"/>
        <w:position w:val="0"/>
        <w:sz w:val="24"/>
      </w:rPr>
    </w:lvl>
    <w:lvl w:ilvl="1">
      <w:start w:val="1"/>
      <w:numFmt w:val="bullet"/>
      <w:lvlText w:val=""/>
      <w:lvlJc w:val="left"/>
      <w:pPr>
        <w:tabs>
          <w:tab w:val="num" w:pos="0"/>
        </w:tabs>
        <w:ind w:left="0" w:hanging="0"/>
      </w:pPr>
      <w:rPr>
        <w:rFonts w:ascii="OpenSymbol" w:hAnsi="OpenSymbol" w:cs="OpenSymbol" w:hint="default"/>
        <w:vertAlign w:val="baseline"/>
        <w:position w:val="0"/>
        <w:sz w:val="24"/>
      </w:rPr>
    </w:lvl>
    <w:lvl w:ilvl="2">
      <w:start w:val="1"/>
      <w:numFmt w:val="bullet"/>
      <w:lvlText w:val=""/>
      <w:lvlJc w:val="left"/>
      <w:pPr>
        <w:tabs>
          <w:tab w:val="num" w:pos="0"/>
        </w:tabs>
        <w:ind w:left="0" w:hanging="0"/>
      </w:pPr>
      <w:rPr>
        <w:rFonts w:ascii="OpenSymbol" w:hAnsi="OpenSymbol" w:cs="OpenSymbol" w:hint="default"/>
        <w:vertAlign w:val="baseline"/>
        <w:position w:val="0"/>
        <w:sz w:val="24"/>
      </w:rPr>
    </w:lvl>
    <w:lvl w:ilvl="3">
      <w:start w:val="1"/>
      <w:numFmt w:val="bullet"/>
      <w:lvlText w:val=""/>
      <w:lvlJc w:val="left"/>
      <w:pPr>
        <w:tabs>
          <w:tab w:val="num" w:pos="0"/>
        </w:tabs>
        <w:ind w:left="0" w:hanging="0"/>
      </w:pPr>
      <w:rPr>
        <w:rFonts w:ascii="OpenSymbol" w:hAnsi="OpenSymbol" w:cs="OpenSymbol" w:hint="default"/>
        <w:vertAlign w:val="baseline"/>
        <w:position w:val="0"/>
        <w:sz w:val="24"/>
      </w:rPr>
    </w:lvl>
    <w:lvl w:ilvl="4">
      <w:start w:val="1"/>
      <w:numFmt w:val="bullet"/>
      <w:lvlText w:val=""/>
      <w:lvlJc w:val="left"/>
      <w:pPr>
        <w:tabs>
          <w:tab w:val="num" w:pos="0"/>
        </w:tabs>
        <w:ind w:left="0" w:hanging="0"/>
      </w:pPr>
      <w:rPr>
        <w:rFonts w:ascii="OpenSymbol" w:hAnsi="OpenSymbol" w:cs="OpenSymbol" w:hint="default"/>
        <w:vertAlign w:val="baseline"/>
        <w:position w:val="0"/>
        <w:sz w:val="24"/>
      </w:rPr>
    </w:lvl>
    <w:lvl w:ilvl="5">
      <w:start w:val="1"/>
      <w:numFmt w:val="bullet"/>
      <w:lvlText w:val=""/>
      <w:lvlJc w:val="left"/>
      <w:pPr>
        <w:tabs>
          <w:tab w:val="num" w:pos="0"/>
        </w:tabs>
        <w:ind w:left="0" w:hanging="0"/>
      </w:pPr>
      <w:rPr>
        <w:rFonts w:ascii="OpenSymbol" w:hAnsi="OpenSymbol" w:cs="OpenSymbol" w:hint="default"/>
        <w:vertAlign w:val="baseline"/>
        <w:position w:val="0"/>
        <w:sz w:val="24"/>
      </w:rPr>
    </w:lvl>
    <w:lvl w:ilvl="6">
      <w:start w:val="1"/>
      <w:numFmt w:val="bullet"/>
      <w:lvlText w:val=""/>
      <w:lvlJc w:val="left"/>
      <w:pPr>
        <w:tabs>
          <w:tab w:val="num" w:pos="0"/>
        </w:tabs>
        <w:ind w:left="0" w:hanging="0"/>
      </w:pPr>
      <w:rPr>
        <w:rFonts w:ascii="OpenSymbol" w:hAnsi="OpenSymbol" w:cs="OpenSymbol" w:hint="default"/>
        <w:vertAlign w:val="baseline"/>
        <w:position w:val="0"/>
        <w:sz w:val="24"/>
      </w:rPr>
    </w:lvl>
    <w:lvl w:ilvl="7">
      <w:start w:val="1"/>
      <w:numFmt w:val="bullet"/>
      <w:lvlText w:val=""/>
      <w:lvlJc w:val="left"/>
      <w:pPr>
        <w:tabs>
          <w:tab w:val="num" w:pos="0"/>
        </w:tabs>
        <w:ind w:left="0" w:hanging="0"/>
      </w:pPr>
      <w:rPr>
        <w:rFonts w:ascii="OpenSymbol" w:hAnsi="OpenSymbol" w:cs="OpenSymbol" w:hint="default"/>
        <w:vertAlign w:val="baseline"/>
        <w:position w:val="0"/>
        <w:sz w:val="24"/>
      </w:rPr>
    </w:lvl>
    <w:lvl w:ilvl="8">
      <w:start w:val="1"/>
      <w:numFmt w:val="bullet"/>
      <w:lvlText w:val=""/>
      <w:lvlJc w:val="left"/>
      <w:pPr>
        <w:tabs>
          <w:tab w:val="num" w:pos="0"/>
        </w:tabs>
        <w:ind w:left="0" w:hanging="0"/>
      </w:pPr>
      <w:rPr>
        <w:rFonts w:ascii="OpenSymbol" w:hAnsi="OpenSymbol" w:cs="OpenSymbol" w:hint="default"/>
        <w:vertAlign w:val="baseline"/>
        <w:position w:val="0"/>
        <w:sz w:val="24"/>
      </w:rPr>
    </w:lvl>
  </w:abstractNum>
  <w:abstractNum w:abstractNumId="8">
    <w:lvl w:ilvl="0">
      <w:start w:val="1"/>
      <w:numFmt w:val="decimal"/>
      <w:lvlText w:val="%1."/>
      <w:lvlJc w:val="left"/>
      <w:pPr>
        <w:tabs>
          <w:tab w:val="num" w:pos="0"/>
        </w:tabs>
        <w:ind w:left="720" w:hanging="360"/>
      </w:pPr>
      <w:rPr>
        <w:vertAlign w:val="baseline"/>
        <w:position w:val="0"/>
        <w:sz w:val="24"/>
      </w:rPr>
    </w:lvl>
    <w:lvl w:ilvl="1">
      <w:start w:val="1"/>
      <w:numFmt w:val="lowerLetter"/>
      <w:lvlText w:val="%2."/>
      <w:lvlJc w:val="left"/>
      <w:pPr>
        <w:tabs>
          <w:tab w:val="num" w:pos="0"/>
        </w:tabs>
        <w:ind w:left="1440" w:hanging="360"/>
      </w:pPr>
      <w:rPr>
        <w:vertAlign w:val="baseline"/>
        <w:position w:val="0"/>
        <w:sz w:val="24"/>
      </w:rPr>
    </w:lvl>
    <w:lvl w:ilvl="2">
      <w:start w:val="1"/>
      <w:numFmt w:val="lowerRoman"/>
      <w:lvlText w:val="%3."/>
      <w:lvlJc w:val="right"/>
      <w:pPr>
        <w:tabs>
          <w:tab w:val="num" w:pos="0"/>
        </w:tabs>
        <w:ind w:left="2160" w:hanging="180"/>
      </w:pPr>
      <w:rPr>
        <w:vertAlign w:val="baseline"/>
        <w:position w:val="0"/>
        <w:sz w:val="24"/>
      </w:rPr>
    </w:lvl>
    <w:lvl w:ilvl="3">
      <w:start w:val="1"/>
      <w:numFmt w:val="decimal"/>
      <w:lvlText w:val="%4."/>
      <w:lvlJc w:val="left"/>
      <w:pPr>
        <w:tabs>
          <w:tab w:val="num" w:pos="0"/>
        </w:tabs>
        <w:ind w:left="2880" w:hanging="360"/>
      </w:pPr>
      <w:rPr>
        <w:vertAlign w:val="baseline"/>
        <w:position w:val="0"/>
        <w:sz w:val="24"/>
      </w:rPr>
    </w:lvl>
    <w:lvl w:ilvl="4">
      <w:start w:val="1"/>
      <w:numFmt w:val="lowerLetter"/>
      <w:lvlText w:val="%5."/>
      <w:lvlJc w:val="left"/>
      <w:pPr>
        <w:tabs>
          <w:tab w:val="num" w:pos="0"/>
        </w:tabs>
        <w:ind w:left="3600" w:hanging="360"/>
      </w:pPr>
      <w:rPr>
        <w:vertAlign w:val="baseline"/>
        <w:position w:val="0"/>
        <w:sz w:val="24"/>
      </w:rPr>
    </w:lvl>
    <w:lvl w:ilvl="5">
      <w:start w:val="1"/>
      <w:numFmt w:val="lowerRoman"/>
      <w:lvlText w:val="%6."/>
      <w:lvlJc w:val="right"/>
      <w:pPr>
        <w:tabs>
          <w:tab w:val="num" w:pos="0"/>
        </w:tabs>
        <w:ind w:left="4320" w:hanging="180"/>
      </w:pPr>
      <w:rPr>
        <w:vertAlign w:val="baseline"/>
        <w:position w:val="0"/>
        <w:sz w:val="24"/>
      </w:rPr>
    </w:lvl>
    <w:lvl w:ilvl="6">
      <w:start w:val="1"/>
      <w:numFmt w:val="decimal"/>
      <w:lvlText w:val="%7."/>
      <w:lvlJc w:val="left"/>
      <w:pPr>
        <w:tabs>
          <w:tab w:val="num" w:pos="0"/>
        </w:tabs>
        <w:ind w:left="5040" w:hanging="360"/>
      </w:pPr>
      <w:rPr>
        <w:vertAlign w:val="baseline"/>
        <w:position w:val="0"/>
        <w:sz w:val="24"/>
      </w:rPr>
    </w:lvl>
    <w:lvl w:ilvl="7">
      <w:start w:val="1"/>
      <w:numFmt w:val="lowerLetter"/>
      <w:lvlText w:val="%8."/>
      <w:lvlJc w:val="left"/>
      <w:pPr>
        <w:tabs>
          <w:tab w:val="num" w:pos="0"/>
        </w:tabs>
        <w:ind w:left="5760" w:hanging="360"/>
      </w:pPr>
      <w:rPr>
        <w:vertAlign w:val="baseline"/>
        <w:position w:val="0"/>
        <w:sz w:val="24"/>
      </w:rPr>
    </w:lvl>
    <w:lvl w:ilvl="8">
      <w:start w:val="1"/>
      <w:numFmt w:val="lowerRoman"/>
      <w:lvlText w:val="%9."/>
      <w:lvlJc w:val="right"/>
      <w:pPr>
        <w:tabs>
          <w:tab w:val="num" w:pos="0"/>
        </w:tabs>
        <w:ind w:left="6480" w:hanging="180"/>
      </w:pPr>
      <w:rPr>
        <w:vertAlign w:val="baseline"/>
        <w:position w:val="0"/>
        <w:sz w:val="24"/>
      </w:rPr>
    </w:lvl>
  </w:abstractNum>
  <w:abstractNum w:abstractNumId="9">
    <w:lvl w:ilvl="0">
      <w:start w:val="1"/>
      <w:numFmt w:val="bullet"/>
      <w:lvlText w:val="✔"/>
      <w:lvlJc w:val="left"/>
      <w:pPr>
        <w:tabs>
          <w:tab w:val="num" w:pos="0"/>
        </w:tabs>
        <w:ind w:left="1429" w:hanging="360"/>
      </w:pPr>
      <w:rPr>
        <w:rFonts w:ascii="Noto Sans" w:hAnsi="Noto Sans" w:cs="Noto Sans" w:hint="default"/>
        <w:vertAlign w:val="baseline"/>
        <w:position w:val="0"/>
        <w:sz w:val="24"/>
      </w:rPr>
    </w:lvl>
    <w:lvl w:ilvl="1">
      <w:start w:val="1"/>
      <w:numFmt w:val="bullet"/>
      <w:lvlText w:val="o"/>
      <w:lvlJc w:val="left"/>
      <w:pPr>
        <w:tabs>
          <w:tab w:val="num" w:pos="0"/>
        </w:tabs>
        <w:ind w:left="2149" w:hanging="360"/>
      </w:pPr>
      <w:rPr>
        <w:rFonts w:ascii="Courier New" w:hAnsi="Courier New" w:cs="Courier New" w:hint="default"/>
        <w:vertAlign w:val="baseline"/>
        <w:position w:val="0"/>
        <w:sz w:val="24"/>
      </w:rPr>
    </w:lvl>
    <w:lvl w:ilvl="2">
      <w:start w:val="1"/>
      <w:numFmt w:val="bullet"/>
      <w:lvlText w:val="▪"/>
      <w:lvlJc w:val="left"/>
      <w:pPr>
        <w:tabs>
          <w:tab w:val="num" w:pos="0"/>
        </w:tabs>
        <w:ind w:left="2869" w:hanging="360"/>
      </w:pPr>
      <w:rPr>
        <w:rFonts w:ascii="Noto Sans" w:hAnsi="Noto Sans" w:cs="Noto Sans" w:hint="default"/>
        <w:vertAlign w:val="baseline"/>
        <w:position w:val="0"/>
        <w:sz w:val="24"/>
      </w:rPr>
    </w:lvl>
    <w:lvl w:ilvl="3">
      <w:start w:val="1"/>
      <w:numFmt w:val="bullet"/>
      <w:lvlText w:val="●"/>
      <w:lvlJc w:val="left"/>
      <w:pPr>
        <w:tabs>
          <w:tab w:val="num" w:pos="0"/>
        </w:tabs>
        <w:ind w:left="3589" w:hanging="360"/>
      </w:pPr>
      <w:rPr>
        <w:rFonts w:ascii="Noto Sans" w:hAnsi="Noto Sans" w:cs="Noto Sans" w:hint="default"/>
        <w:vertAlign w:val="baseline"/>
        <w:position w:val="0"/>
        <w:sz w:val="24"/>
      </w:rPr>
    </w:lvl>
    <w:lvl w:ilvl="4">
      <w:start w:val="1"/>
      <w:numFmt w:val="bullet"/>
      <w:lvlText w:val="o"/>
      <w:lvlJc w:val="left"/>
      <w:pPr>
        <w:tabs>
          <w:tab w:val="num" w:pos="0"/>
        </w:tabs>
        <w:ind w:left="4309" w:hanging="360"/>
      </w:pPr>
      <w:rPr>
        <w:rFonts w:ascii="Courier New" w:hAnsi="Courier New" w:cs="Courier New" w:hint="default"/>
        <w:vertAlign w:val="baseline"/>
        <w:position w:val="0"/>
        <w:sz w:val="24"/>
      </w:rPr>
    </w:lvl>
    <w:lvl w:ilvl="5">
      <w:start w:val="1"/>
      <w:numFmt w:val="bullet"/>
      <w:lvlText w:val="▪"/>
      <w:lvlJc w:val="left"/>
      <w:pPr>
        <w:tabs>
          <w:tab w:val="num" w:pos="0"/>
        </w:tabs>
        <w:ind w:left="5029" w:hanging="360"/>
      </w:pPr>
      <w:rPr>
        <w:rFonts w:ascii="Noto Sans" w:hAnsi="Noto Sans" w:cs="Noto Sans" w:hint="default"/>
        <w:vertAlign w:val="baseline"/>
        <w:position w:val="0"/>
        <w:sz w:val="24"/>
      </w:rPr>
    </w:lvl>
    <w:lvl w:ilvl="6">
      <w:start w:val="1"/>
      <w:numFmt w:val="bullet"/>
      <w:lvlText w:val="●"/>
      <w:lvlJc w:val="left"/>
      <w:pPr>
        <w:tabs>
          <w:tab w:val="num" w:pos="0"/>
        </w:tabs>
        <w:ind w:left="5749" w:hanging="360"/>
      </w:pPr>
      <w:rPr>
        <w:rFonts w:ascii="Noto Sans" w:hAnsi="Noto Sans" w:cs="Noto Sans" w:hint="default"/>
        <w:vertAlign w:val="baseline"/>
        <w:position w:val="0"/>
        <w:sz w:val="24"/>
      </w:rPr>
    </w:lvl>
    <w:lvl w:ilvl="7">
      <w:start w:val="1"/>
      <w:numFmt w:val="bullet"/>
      <w:lvlText w:val="o"/>
      <w:lvlJc w:val="left"/>
      <w:pPr>
        <w:tabs>
          <w:tab w:val="num" w:pos="0"/>
        </w:tabs>
        <w:ind w:left="6469" w:hanging="360"/>
      </w:pPr>
      <w:rPr>
        <w:rFonts w:ascii="Courier New" w:hAnsi="Courier New" w:cs="Courier New" w:hint="default"/>
        <w:vertAlign w:val="baseline"/>
        <w:position w:val="0"/>
        <w:sz w:val="24"/>
      </w:rPr>
    </w:lvl>
    <w:lvl w:ilvl="8">
      <w:start w:val="1"/>
      <w:numFmt w:val="bullet"/>
      <w:lvlText w:val="▪"/>
      <w:lvlJc w:val="left"/>
      <w:pPr>
        <w:tabs>
          <w:tab w:val="num" w:pos="0"/>
        </w:tabs>
        <w:ind w:left="7189" w:hanging="360"/>
      </w:pPr>
      <w:rPr>
        <w:rFonts w:ascii="Noto Sans" w:hAnsi="Noto Sans" w:cs="Noto Sans" w:hint="default"/>
        <w:vertAlign w:val="baseline"/>
        <w:position w:val="0"/>
        <w:sz w:val="24"/>
      </w:rPr>
    </w:lvl>
  </w:abstractNum>
  <w:abstractNum w:abstractNumId="10">
    <w:lvl w:ilvl="0">
      <w:start w:val="2"/>
      <w:numFmt w:val="decimal"/>
      <w:lvlText w:val="%1."/>
      <w:lvlJc w:val="left"/>
      <w:pPr>
        <w:tabs>
          <w:tab w:val="num" w:pos="0"/>
        </w:tabs>
        <w:ind w:left="720" w:hanging="360"/>
      </w:pPr>
      <w:rPr>
        <w:vertAlign w:val="baseline"/>
        <w:position w:val="0"/>
        <w:sz w:val="24"/>
        <w:i w:val="false"/>
        <w:b/>
      </w:rPr>
    </w:lvl>
    <w:lvl w:ilvl="1">
      <w:start w:val="0"/>
      <w:numFmt w:val="decimal"/>
      <w:lvlText w:val=""/>
      <w:lvlJc w:val="left"/>
      <w:pPr>
        <w:tabs>
          <w:tab w:val="num" w:pos="0"/>
        </w:tabs>
        <w:ind w:left="0" w:hanging="0"/>
      </w:pPr>
      <w:rPr>
        <w:vertAlign w:val="baseline"/>
        <w:position w:val="0"/>
        <w:sz w:val="24"/>
      </w:rPr>
    </w:lvl>
    <w:lvl w:ilvl="2">
      <w:start w:val="0"/>
      <w:numFmt w:val="decimal"/>
      <w:lvlText w:val=""/>
      <w:lvlJc w:val="left"/>
      <w:pPr>
        <w:tabs>
          <w:tab w:val="num" w:pos="0"/>
        </w:tabs>
        <w:ind w:left="0" w:hanging="0"/>
      </w:pPr>
      <w:rPr>
        <w:vertAlign w:val="baseline"/>
        <w:position w:val="0"/>
        <w:sz w:val="24"/>
      </w:rPr>
    </w:lvl>
    <w:lvl w:ilvl="3">
      <w:start w:val="0"/>
      <w:numFmt w:val="decimal"/>
      <w:lvlText w:val=""/>
      <w:lvlJc w:val="left"/>
      <w:pPr>
        <w:tabs>
          <w:tab w:val="num" w:pos="0"/>
        </w:tabs>
        <w:ind w:left="0" w:hanging="0"/>
      </w:pPr>
      <w:rPr>
        <w:vertAlign w:val="baseline"/>
        <w:position w:val="0"/>
        <w:sz w:val="24"/>
      </w:rPr>
    </w:lvl>
    <w:lvl w:ilvl="4">
      <w:start w:val="0"/>
      <w:numFmt w:val="decimal"/>
      <w:lvlText w:val=""/>
      <w:lvlJc w:val="left"/>
      <w:pPr>
        <w:tabs>
          <w:tab w:val="num" w:pos="0"/>
        </w:tabs>
        <w:ind w:left="0" w:hanging="0"/>
      </w:pPr>
      <w:rPr>
        <w:vertAlign w:val="baseline"/>
        <w:position w:val="0"/>
        <w:sz w:val="24"/>
      </w:rPr>
    </w:lvl>
    <w:lvl w:ilvl="5">
      <w:start w:val="0"/>
      <w:numFmt w:val="decimal"/>
      <w:lvlText w:val=""/>
      <w:lvlJc w:val="left"/>
      <w:pPr>
        <w:tabs>
          <w:tab w:val="num" w:pos="0"/>
        </w:tabs>
        <w:ind w:left="0" w:hanging="0"/>
      </w:pPr>
      <w:rPr>
        <w:vertAlign w:val="baseline"/>
        <w:position w:val="0"/>
        <w:sz w:val="24"/>
      </w:rPr>
    </w:lvl>
    <w:lvl w:ilvl="6">
      <w:start w:val="0"/>
      <w:numFmt w:val="decimal"/>
      <w:lvlText w:val=""/>
      <w:lvlJc w:val="left"/>
      <w:pPr>
        <w:tabs>
          <w:tab w:val="num" w:pos="0"/>
        </w:tabs>
        <w:ind w:left="0" w:hanging="0"/>
      </w:pPr>
      <w:rPr>
        <w:vertAlign w:val="baseline"/>
        <w:position w:val="0"/>
        <w:sz w:val="24"/>
      </w:rPr>
    </w:lvl>
    <w:lvl w:ilvl="7">
      <w:start w:val="0"/>
      <w:numFmt w:val="decimal"/>
      <w:lvlText w:val=""/>
      <w:lvlJc w:val="left"/>
      <w:pPr>
        <w:tabs>
          <w:tab w:val="num" w:pos="0"/>
        </w:tabs>
        <w:ind w:left="0" w:hanging="0"/>
      </w:pPr>
      <w:rPr>
        <w:vertAlign w:val="baseline"/>
        <w:position w:val="0"/>
        <w:sz w:val="24"/>
      </w:rPr>
    </w:lvl>
    <w:lvl w:ilvl="8">
      <w:start w:val="0"/>
      <w:numFmt w:val="decimal"/>
      <w:lvlText w:val=""/>
      <w:lvlJc w:val="left"/>
      <w:pPr>
        <w:tabs>
          <w:tab w:val="num" w:pos="0"/>
        </w:tabs>
        <w:ind w:left="0" w:hanging="0"/>
      </w:pPr>
      <w:rPr>
        <w:vertAlign w:val="baseline"/>
        <w:position w:val="0"/>
        <w:sz w:val="24"/>
      </w:rPr>
    </w:lvl>
  </w:abstractNum>
  <w:abstractNum w:abstractNumId="11">
    <w:lvl w:ilvl="0">
      <w:start w:val="1"/>
      <w:numFmt w:val="bullet"/>
      <w:lvlText w:val="●"/>
      <w:lvlJc w:val="left"/>
      <w:pPr>
        <w:tabs>
          <w:tab w:val="num" w:pos="0"/>
        </w:tabs>
        <w:ind w:left="1069" w:hanging="360"/>
      </w:pPr>
      <w:rPr>
        <w:rFonts w:ascii="Noto Sans" w:hAnsi="Noto Sans" w:cs="Noto Sans" w:hint="default"/>
        <w:vertAlign w:val="baseline"/>
        <w:position w:val="0"/>
        <w:sz w:val="24"/>
      </w:rPr>
    </w:lvl>
    <w:lvl w:ilvl="1">
      <w:start w:val="1"/>
      <w:numFmt w:val="bullet"/>
      <w:lvlText w:val=""/>
      <w:lvlJc w:val="left"/>
      <w:pPr>
        <w:tabs>
          <w:tab w:val="num" w:pos="0"/>
        </w:tabs>
        <w:ind w:left="0" w:hanging="0"/>
      </w:pPr>
      <w:rPr>
        <w:rFonts w:ascii="OpenSymbol" w:hAnsi="OpenSymbol" w:cs="OpenSymbol" w:hint="default"/>
        <w:vertAlign w:val="baseline"/>
        <w:position w:val="0"/>
        <w:sz w:val="24"/>
      </w:rPr>
    </w:lvl>
    <w:lvl w:ilvl="2">
      <w:start w:val="1"/>
      <w:numFmt w:val="bullet"/>
      <w:lvlText w:val=""/>
      <w:lvlJc w:val="left"/>
      <w:pPr>
        <w:tabs>
          <w:tab w:val="num" w:pos="0"/>
        </w:tabs>
        <w:ind w:left="0" w:hanging="0"/>
      </w:pPr>
      <w:rPr>
        <w:rFonts w:ascii="OpenSymbol" w:hAnsi="OpenSymbol" w:cs="OpenSymbol" w:hint="default"/>
        <w:vertAlign w:val="baseline"/>
        <w:position w:val="0"/>
        <w:sz w:val="24"/>
      </w:rPr>
    </w:lvl>
    <w:lvl w:ilvl="3">
      <w:start w:val="1"/>
      <w:numFmt w:val="bullet"/>
      <w:lvlText w:val=""/>
      <w:lvlJc w:val="left"/>
      <w:pPr>
        <w:tabs>
          <w:tab w:val="num" w:pos="0"/>
        </w:tabs>
        <w:ind w:left="0" w:hanging="0"/>
      </w:pPr>
      <w:rPr>
        <w:rFonts w:ascii="OpenSymbol" w:hAnsi="OpenSymbol" w:cs="OpenSymbol" w:hint="default"/>
        <w:vertAlign w:val="baseline"/>
        <w:position w:val="0"/>
        <w:sz w:val="24"/>
      </w:rPr>
    </w:lvl>
    <w:lvl w:ilvl="4">
      <w:start w:val="1"/>
      <w:numFmt w:val="bullet"/>
      <w:lvlText w:val=""/>
      <w:lvlJc w:val="left"/>
      <w:pPr>
        <w:tabs>
          <w:tab w:val="num" w:pos="0"/>
        </w:tabs>
        <w:ind w:left="0" w:hanging="0"/>
      </w:pPr>
      <w:rPr>
        <w:rFonts w:ascii="OpenSymbol" w:hAnsi="OpenSymbol" w:cs="OpenSymbol" w:hint="default"/>
        <w:vertAlign w:val="baseline"/>
        <w:position w:val="0"/>
        <w:sz w:val="24"/>
      </w:rPr>
    </w:lvl>
    <w:lvl w:ilvl="5">
      <w:start w:val="1"/>
      <w:numFmt w:val="bullet"/>
      <w:lvlText w:val=""/>
      <w:lvlJc w:val="left"/>
      <w:pPr>
        <w:tabs>
          <w:tab w:val="num" w:pos="0"/>
        </w:tabs>
        <w:ind w:left="0" w:hanging="0"/>
      </w:pPr>
      <w:rPr>
        <w:rFonts w:ascii="OpenSymbol" w:hAnsi="OpenSymbol" w:cs="OpenSymbol" w:hint="default"/>
        <w:vertAlign w:val="baseline"/>
        <w:position w:val="0"/>
        <w:sz w:val="24"/>
      </w:rPr>
    </w:lvl>
    <w:lvl w:ilvl="6">
      <w:start w:val="1"/>
      <w:numFmt w:val="bullet"/>
      <w:lvlText w:val=""/>
      <w:lvlJc w:val="left"/>
      <w:pPr>
        <w:tabs>
          <w:tab w:val="num" w:pos="0"/>
        </w:tabs>
        <w:ind w:left="0" w:hanging="0"/>
      </w:pPr>
      <w:rPr>
        <w:rFonts w:ascii="OpenSymbol" w:hAnsi="OpenSymbol" w:cs="OpenSymbol" w:hint="default"/>
        <w:vertAlign w:val="baseline"/>
        <w:position w:val="0"/>
        <w:sz w:val="24"/>
      </w:rPr>
    </w:lvl>
    <w:lvl w:ilvl="7">
      <w:start w:val="1"/>
      <w:numFmt w:val="bullet"/>
      <w:lvlText w:val=""/>
      <w:lvlJc w:val="left"/>
      <w:pPr>
        <w:tabs>
          <w:tab w:val="num" w:pos="0"/>
        </w:tabs>
        <w:ind w:left="0" w:hanging="0"/>
      </w:pPr>
      <w:rPr>
        <w:rFonts w:ascii="OpenSymbol" w:hAnsi="OpenSymbol" w:cs="OpenSymbol" w:hint="default"/>
        <w:vertAlign w:val="baseline"/>
        <w:position w:val="0"/>
        <w:sz w:val="24"/>
      </w:rPr>
    </w:lvl>
    <w:lvl w:ilvl="8">
      <w:start w:val="1"/>
      <w:numFmt w:val="bullet"/>
      <w:lvlText w:val=""/>
      <w:lvlJc w:val="left"/>
      <w:pPr>
        <w:tabs>
          <w:tab w:val="num" w:pos="0"/>
        </w:tabs>
        <w:ind w:left="0" w:hanging="0"/>
      </w:pPr>
      <w:rPr>
        <w:rFonts w:ascii="OpenSymbol" w:hAnsi="OpenSymbol" w:cs="OpenSymbol" w:hint="default"/>
        <w:vertAlign w:val="baseline"/>
        <w:position w:val="0"/>
        <w:sz w:val="24"/>
      </w:rPr>
    </w:lvl>
  </w:abstractNum>
  <w:abstractNum w:abstractNumId="12">
    <w:lvl w:ilvl="0">
      <w:start w:val="1"/>
      <w:numFmt w:val="decimal"/>
      <w:lvlText w:val="%1."/>
      <w:lvlJc w:val="left"/>
      <w:pPr>
        <w:tabs>
          <w:tab w:val="num" w:pos="0"/>
        </w:tabs>
        <w:ind w:left="360" w:hanging="360"/>
      </w:pPr>
      <w:rPr>
        <w:vertAlign w:val="baseline"/>
        <w:position w:val="0"/>
        <w:sz w:val="24"/>
        <w:b w:val="false"/>
        <w:color w:val="000000"/>
      </w:rPr>
    </w:lvl>
    <w:lvl w:ilvl="1">
      <w:start w:val="1"/>
      <w:numFmt w:val="decimal"/>
      <w:lvlText w:val="%1.%2."/>
      <w:lvlJc w:val="left"/>
      <w:pPr>
        <w:tabs>
          <w:tab w:val="num" w:pos="0"/>
        </w:tabs>
        <w:ind w:left="792" w:hanging="432"/>
      </w:pPr>
      <w:rPr>
        <w:vertAlign w:val="baseline"/>
        <w:position w:val="0"/>
        <w:sz w:val="24"/>
      </w:rPr>
    </w:lvl>
    <w:lvl w:ilvl="2">
      <w:start w:val="1"/>
      <w:numFmt w:val="decimal"/>
      <w:lvlText w:val="%1.%2.%3."/>
      <w:lvlJc w:val="left"/>
      <w:pPr>
        <w:tabs>
          <w:tab w:val="num" w:pos="0"/>
        </w:tabs>
        <w:ind w:left="1224" w:hanging="504"/>
      </w:pPr>
      <w:rPr>
        <w:vertAlign w:val="baseline"/>
        <w:position w:val="0"/>
        <w:sz w:val="24"/>
      </w:rPr>
    </w:lvl>
    <w:lvl w:ilvl="3">
      <w:start w:val="1"/>
      <w:numFmt w:val="decimal"/>
      <w:lvlText w:val="%1.%2.%3.%4."/>
      <w:lvlJc w:val="left"/>
      <w:pPr>
        <w:tabs>
          <w:tab w:val="num" w:pos="0"/>
        </w:tabs>
        <w:ind w:left="1728" w:hanging="647"/>
      </w:pPr>
      <w:rPr>
        <w:vertAlign w:val="baseline"/>
        <w:position w:val="0"/>
        <w:sz w:val="24"/>
      </w:rPr>
    </w:lvl>
    <w:lvl w:ilvl="4">
      <w:start w:val="1"/>
      <w:numFmt w:val="decimal"/>
      <w:lvlText w:val="%1.%2.%3.%4.%5."/>
      <w:lvlJc w:val="left"/>
      <w:pPr>
        <w:tabs>
          <w:tab w:val="num" w:pos="0"/>
        </w:tabs>
        <w:ind w:left="2232" w:hanging="792"/>
      </w:pPr>
      <w:rPr>
        <w:vertAlign w:val="baseline"/>
        <w:position w:val="0"/>
        <w:sz w:val="24"/>
      </w:rPr>
    </w:lvl>
    <w:lvl w:ilvl="5">
      <w:start w:val="1"/>
      <w:numFmt w:val="decimal"/>
      <w:lvlText w:val="%1.%2.%3.%4.%5.%6."/>
      <w:lvlJc w:val="left"/>
      <w:pPr>
        <w:tabs>
          <w:tab w:val="num" w:pos="0"/>
        </w:tabs>
        <w:ind w:left="2736" w:hanging="933"/>
      </w:pPr>
      <w:rPr>
        <w:vertAlign w:val="baseline"/>
        <w:position w:val="0"/>
        <w:sz w:val="24"/>
      </w:rPr>
    </w:lvl>
    <w:lvl w:ilvl="6">
      <w:start w:val="1"/>
      <w:numFmt w:val="decimal"/>
      <w:lvlText w:val="%1.%2.%3.%4.%5.%6.%7."/>
      <w:lvlJc w:val="left"/>
      <w:pPr>
        <w:tabs>
          <w:tab w:val="num" w:pos="0"/>
        </w:tabs>
        <w:ind w:left="3240" w:hanging="1080"/>
      </w:pPr>
      <w:rPr>
        <w:vertAlign w:val="baseline"/>
        <w:position w:val="0"/>
        <w:sz w:val="24"/>
      </w:rPr>
    </w:lvl>
    <w:lvl w:ilvl="7">
      <w:start w:val="1"/>
      <w:numFmt w:val="decimal"/>
      <w:lvlText w:val="%1.%2.%3.%4.%5.%6.%7.%8."/>
      <w:lvlJc w:val="left"/>
      <w:pPr>
        <w:tabs>
          <w:tab w:val="num" w:pos="0"/>
        </w:tabs>
        <w:ind w:left="3744" w:hanging="1224"/>
      </w:pPr>
      <w:rPr>
        <w:vertAlign w:val="baseline"/>
        <w:position w:val="0"/>
        <w:sz w:val="24"/>
      </w:rPr>
    </w:lvl>
    <w:lvl w:ilvl="8">
      <w:start w:val="1"/>
      <w:numFmt w:val="decimal"/>
      <w:lvlText w:val="%1.%2.%3.%4.%5.%6.%7.%8.%9."/>
      <w:lvlJc w:val="left"/>
      <w:pPr>
        <w:tabs>
          <w:tab w:val="num" w:pos="0"/>
        </w:tabs>
        <w:ind w:left="4320" w:hanging="1440"/>
      </w:pPr>
      <w:rPr>
        <w:vertAlign w:val="baseline"/>
        <w:position w:val="0"/>
        <w:sz w:val="24"/>
      </w:rPr>
    </w:lvl>
  </w:abstractNum>
  <w:abstractNum w:abstractNumId="13">
    <w:lvl w:ilvl="0">
      <w:start w:val="1"/>
      <w:numFmt w:val="bullet"/>
      <w:lvlText w:val="●"/>
      <w:lvlJc w:val="left"/>
      <w:pPr>
        <w:tabs>
          <w:tab w:val="num" w:pos="0"/>
        </w:tabs>
        <w:ind w:left="720" w:hanging="360"/>
      </w:pPr>
      <w:rPr>
        <w:rFonts w:ascii="Noto Sans Symbols" w:hAnsi="Noto Sans Symbols" w:cs="Noto Sans Symbols" w:hint="default"/>
        <w:vertAlign w:val="baseline"/>
        <w:position w:val="0"/>
        <w:sz w:val="20"/>
        <w:sz w:val="20"/>
        <w:szCs w:val="20"/>
      </w:rPr>
    </w:lvl>
    <w:lvl w:ilvl="1">
      <w:start w:val="1"/>
      <w:numFmt w:val="bullet"/>
      <w:lvlText w:val="o"/>
      <w:lvlJc w:val="left"/>
      <w:pPr>
        <w:tabs>
          <w:tab w:val="num" w:pos="0"/>
        </w:tabs>
        <w:ind w:left="1440" w:hanging="360"/>
      </w:pPr>
      <w:rPr>
        <w:rFonts w:ascii="Courier New" w:hAnsi="Courier New" w:cs="Courier New" w:hint="default"/>
        <w:vertAlign w:val="baseline"/>
        <w:position w:val="0"/>
        <w:sz w:val="20"/>
        <w:sz w:val="20"/>
        <w:szCs w:val="20"/>
      </w:rPr>
    </w:lvl>
    <w:lvl w:ilvl="2">
      <w:start w:val="1"/>
      <w:numFmt w:val="bullet"/>
      <w:lvlText w:val="▪"/>
      <w:lvlJc w:val="left"/>
      <w:pPr>
        <w:tabs>
          <w:tab w:val="num" w:pos="0"/>
        </w:tabs>
        <w:ind w:left="2160" w:hanging="360"/>
      </w:pPr>
      <w:rPr>
        <w:rFonts w:ascii="Noto Sans Symbols" w:hAnsi="Noto Sans Symbols" w:cs="Noto Sans Symbols" w:hint="default"/>
        <w:vertAlign w:val="baseline"/>
        <w:position w:val="0"/>
        <w:sz w:val="20"/>
        <w:sz w:val="20"/>
        <w:szCs w:val="20"/>
      </w:rPr>
    </w:lvl>
    <w:lvl w:ilvl="3">
      <w:start w:val="1"/>
      <w:numFmt w:val="bullet"/>
      <w:lvlText w:val="▪"/>
      <w:lvlJc w:val="left"/>
      <w:pPr>
        <w:tabs>
          <w:tab w:val="num" w:pos="0"/>
        </w:tabs>
        <w:ind w:left="2880" w:hanging="360"/>
      </w:pPr>
      <w:rPr>
        <w:rFonts w:ascii="Noto Sans Symbols" w:hAnsi="Noto Sans Symbols" w:cs="Noto Sans Symbols" w:hint="default"/>
        <w:vertAlign w:val="baseline"/>
        <w:position w:val="0"/>
        <w:sz w:val="20"/>
        <w:sz w:val="20"/>
        <w:szCs w:val="20"/>
      </w:rPr>
    </w:lvl>
    <w:lvl w:ilvl="4">
      <w:start w:val="1"/>
      <w:numFmt w:val="bullet"/>
      <w:lvlText w:val="▪"/>
      <w:lvlJc w:val="left"/>
      <w:pPr>
        <w:tabs>
          <w:tab w:val="num" w:pos="0"/>
        </w:tabs>
        <w:ind w:left="3600" w:hanging="360"/>
      </w:pPr>
      <w:rPr>
        <w:rFonts w:ascii="Noto Sans Symbols" w:hAnsi="Noto Sans Symbols" w:cs="Noto Sans Symbols" w:hint="default"/>
        <w:vertAlign w:val="baseline"/>
        <w:position w:val="0"/>
        <w:sz w:val="20"/>
        <w:sz w:val="20"/>
        <w:szCs w:val="20"/>
      </w:rPr>
    </w:lvl>
    <w:lvl w:ilvl="5">
      <w:start w:val="1"/>
      <w:numFmt w:val="bullet"/>
      <w:lvlText w:val="▪"/>
      <w:lvlJc w:val="left"/>
      <w:pPr>
        <w:tabs>
          <w:tab w:val="num" w:pos="0"/>
        </w:tabs>
        <w:ind w:left="4320" w:hanging="360"/>
      </w:pPr>
      <w:rPr>
        <w:rFonts w:ascii="Noto Sans Symbols" w:hAnsi="Noto Sans Symbols" w:cs="Noto Sans Symbols" w:hint="default"/>
        <w:vertAlign w:val="baseline"/>
        <w:position w:val="0"/>
        <w:sz w:val="20"/>
        <w:sz w:val="20"/>
        <w:szCs w:val="20"/>
      </w:rPr>
    </w:lvl>
    <w:lvl w:ilvl="6">
      <w:start w:val="1"/>
      <w:numFmt w:val="bullet"/>
      <w:lvlText w:val="▪"/>
      <w:lvlJc w:val="left"/>
      <w:pPr>
        <w:tabs>
          <w:tab w:val="num" w:pos="0"/>
        </w:tabs>
        <w:ind w:left="5040" w:hanging="360"/>
      </w:pPr>
      <w:rPr>
        <w:rFonts w:ascii="Noto Sans Symbols" w:hAnsi="Noto Sans Symbols" w:cs="Noto Sans Symbols" w:hint="default"/>
        <w:vertAlign w:val="baseline"/>
        <w:position w:val="0"/>
        <w:sz w:val="20"/>
        <w:sz w:val="20"/>
        <w:szCs w:val="20"/>
      </w:rPr>
    </w:lvl>
    <w:lvl w:ilvl="7">
      <w:start w:val="1"/>
      <w:numFmt w:val="bullet"/>
      <w:lvlText w:val="▪"/>
      <w:lvlJc w:val="left"/>
      <w:pPr>
        <w:tabs>
          <w:tab w:val="num" w:pos="0"/>
        </w:tabs>
        <w:ind w:left="5760" w:hanging="360"/>
      </w:pPr>
      <w:rPr>
        <w:rFonts w:ascii="Noto Sans Symbols" w:hAnsi="Noto Sans Symbols" w:cs="Noto Sans Symbols" w:hint="default"/>
        <w:vertAlign w:val="baseline"/>
        <w:position w:val="0"/>
        <w:sz w:val="20"/>
        <w:sz w:val="20"/>
        <w:szCs w:val="20"/>
      </w:rPr>
    </w:lvl>
    <w:lvl w:ilvl="8">
      <w:start w:val="1"/>
      <w:numFmt w:val="bullet"/>
      <w:lvlText w:val="▪"/>
      <w:lvlJc w:val="left"/>
      <w:pPr>
        <w:tabs>
          <w:tab w:val="num" w:pos="0"/>
        </w:tabs>
        <w:ind w:left="6480" w:hanging="360"/>
      </w:pPr>
      <w:rPr>
        <w:rFonts w:ascii="Noto Sans Symbols" w:hAnsi="Noto Sans Symbols" w:cs="Noto Sans Symbols" w:hint="default"/>
        <w:vertAlign w:val="baseline"/>
        <w:position w:val="0"/>
        <w:sz w:val="20"/>
        <w:sz w:val="20"/>
        <w:szCs w:val="20"/>
      </w:rPr>
    </w:lvl>
  </w:abstractNum>
  <w:abstractNum w:abstractNumId="14">
    <w:lvl w:ilvl="0">
      <w:start w:val="1"/>
      <w:numFmt w:val="bullet"/>
      <w:lvlText w:val="✔"/>
      <w:lvlJc w:val="left"/>
      <w:pPr>
        <w:tabs>
          <w:tab w:val="num" w:pos="0"/>
        </w:tabs>
        <w:ind w:left="1080" w:hanging="360"/>
      </w:pPr>
      <w:rPr>
        <w:rFonts w:ascii="Noto Sans Symbols" w:hAnsi="Noto Sans Symbols" w:cs="Noto Sans Symbols"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Noto Sans Symbols" w:hAnsi="Noto Sans Symbols" w:cs="Noto Sans Symbols" w:hint="default"/>
      </w:rPr>
    </w:lvl>
    <w:lvl w:ilvl="3">
      <w:start w:val="1"/>
      <w:numFmt w:val="bullet"/>
      <w:lvlText w:val="●"/>
      <w:lvlJc w:val="left"/>
      <w:pPr>
        <w:tabs>
          <w:tab w:val="num" w:pos="0"/>
        </w:tabs>
        <w:ind w:left="3240" w:hanging="360"/>
      </w:pPr>
      <w:rPr>
        <w:rFonts w:ascii="Noto Sans Symbols" w:hAnsi="Noto Sans Symbols" w:cs="Noto Sans Symbols"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Noto Sans Symbols" w:hAnsi="Noto Sans Symbols" w:cs="Noto Sans Symbols" w:hint="default"/>
      </w:rPr>
    </w:lvl>
    <w:lvl w:ilvl="6">
      <w:start w:val="1"/>
      <w:numFmt w:val="bullet"/>
      <w:lvlText w:val="●"/>
      <w:lvlJc w:val="left"/>
      <w:pPr>
        <w:tabs>
          <w:tab w:val="num" w:pos="0"/>
        </w:tabs>
        <w:ind w:left="5400" w:hanging="360"/>
      </w:pPr>
      <w:rPr>
        <w:rFonts w:ascii="Noto Sans Symbols" w:hAnsi="Noto Sans Symbols" w:cs="Noto Sans Symbols"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Noto Sans Symbols" w:hAnsi="Noto Sans Symbols" w:cs="Noto Sans Symbols" w:hint="default"/>
      </w:rPr>
    </w:lvl>
  </w:abstractNum>
  <w:abstractNum w:abstractNumId="15">
    <w:lvl w:ilvl="0">
      <w:start w:val="1"/>
      <w:numFmt w:val="bullet"/>
      <w:lvlText w:val="❖"/>
      <w:lvlJc w:val="left"/>
      <w:pPr>
        <w:tabs>
          <w:tab w:val="num" w:pos="0"/>
        </w:tabs>
        <w:ind w:left="720" w:hanging="360"/>
      </w:pPr>
      <w:rPr>
        <w:rFonts w:ascii="Noto Sans Symbols" w:hAnsi="Noto Sans Symbols" w:cs="Noto Sans Symbol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Noto Sans Symbols" w:hAnsi="Noto Sans Symbols" w:cs="Noto Sans Symbols" w:hint="default"/>
      </w:rPr>
    </w:lvl>
    <w:lvl w:ilvl="3">
      <w:start w:val="1"/>
      <w:numFmt w:val="bullet"/>
      <w:lvlText w:val="●"/>
      <w:lvlJc w:val="left"/>
      <w:pPr>
        <w:tabs>
          <w:tab w:val="num" w:pos="0"/>
        </w:tabs>
        <w:ind w:left="2880" w:hanging="360"/>
      </w:pPr>
      <w:rPr>
        <w:rFonts w:ascii="Noto Sans Symbols" w:hAnsi="Noto Sans Symbols" w:cs="Noto Sans Symbols"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Noto Sans Symbols" w:hAnsi="Noto Sans Symbols" w:cs="Noto Sans Symbols" w:hint="default"/>
      </w:rPr>
    </w:lvl>
    <w:lvl w:ilvl="6">
      <w:start w:val="1"/>
      <w:numFmt w:val="bullet"/>
      <w:lvlText w:val="●"/>
      <w:lvlJc w:val="left"/>
      <w:pPr>
        <w:tabs>
          <w:tab w:val="num" w:pos="0"/>
        </w:tabs>
        <w:ind w:left="5040" w:hanging="360"/>
      </w:pPr>
      <w:rPr>
        <w:rFonts w:ascii="Noto Sans Symbols" w:hAnsi="Noto Sans Symbols" w:cs="Noto Sans Symbols"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Noto Sans Symbols" w:hAnsi="Noto Sans Symbols" w:cs="Noto Sans Symbols" w:hint="default"/>
      </w:rPr>
    </w:lvl>
  </w:abstractNum>
  <w:abstractNum w:abstractNumId="16">
    <w:lvl w:ilvl="0">
      <w:start w:val="1"/>
      <w:numFmt w:val="bullet"/>
      <w:lvlText w:val="✔"/>
      <w:lvlJc w:val="left"/>
      <w:pPr>
        <w:tabs>
          <w:tab w:val="num" w:pos="0"/>
        </w:tabs>
        <w:ind w:left="720" w:hanging="360"/>
      </w:pPr>
      <w:rPr>
        <w:rFonts w:ascii="Noto Sans" w:hAnsi="Noto Sans" w:cs="Noto Sans" w:hint="default"/>
        <w:vertAlign w:val="baseline"/>
        <w:position w:val="0"/>
        <w:sz w:val="24"/>
      </w:rPr>
    </w:lvl>
    <w:lvl w:ilvl="1">
      <w:start w:val="1"/>
      <w:numFmt w:val="bullet"/>
      <w:lvlText w:val="o"/>
      <w:lvlJc w:val="left"/>
      <w:pPr>
        <w:tabs>
          <w:tab w:val="num" w:pos="0"/>
        </w:tabs>
        <w:ind w:left="1440" w:hanging="360"/>
      </w:pPr>
      <w:rPr>
        <w:rFonts w:ascii="Courier New" w:hAnsi="Courier New" w:cs="Courier New" w:hint="default"/>
        <w:vertAlign w:val="baseline"/>
        <w:position w:val="0"/>
        <w:sz w:val="24"/>
      </w:rPr>
    </w:lvl>
    <w:lvl w:ilvl="2">
      <w:start w:val="1"/>
      <w:numFmt w:val="bullet"/>
      <w:lvlText w:val="▪"/>
      <w:lvlJc w:val="left"/>
      <w:pPr>
        <w:tabs>
          <w:tab w:val="num" w:pos="0"/>
        </w:tabs>
        <w:ind w:left="2160" w:hanging="360"/>
      </w:pPr>
      <w:rPr>
        <w:rFonts w:ascii="Noto Sans" w:hAnsi="Noto Sans" w:cs="Noto Sans" w:hint="default"/>
        <w:vertAlign w:val="baseline"/>
        <w:position w:val="0"/>
        <w:sz w:val="24"/>
      </w:rPr>
    </w:lvl>
    <w:lvl w:ilvl="3">
      <w:start w:val="1"/>
      <w:numFmt w:val="bullet"/>
      <w:lvlText w:val="●"/>
      <w:lvlJc w:val="left"/>
      <w:pPr>
        <w:tabs>
          <w:tab w:val="num" w:pos="0"/>
        </w:tabs>
        <w:ind w:left="2880" w:hanging="360"/>
      </w:pPr>
      <w:rPr>
        <w:rFonts w:ascii="Noto Sans" w:hAnsi="Noto Sans" w:cs="Noto Sans" w:hint="default"/>
        <w:vertAlign w:val="baseline"/>
        <w:position w:val="0"/>
        <w:sz w:val="24"/>
      </w:rPr>
    </w:lvl>
    <w:lvl w:ilvl="4">
      <w:start w:val="1"/>
      <w:numFmt w:val="bullet"/>
      <w:lvlText w:val="o"/>
      <w:lvlJc w:val="left"/>
      <w:pPr>
        <w:tabs>
          <w:tab w:val="num" w:pos="0"/>
        </w:tabs>
        <w:ind w:left="3600" w:hanging="360"/>
      </w:pPr>
      <w:rPr>
        <w:rFonts w:ascii="Courier New" w:hAnsi="Courier New" w:cs="Courier New" w:hint="default"/>
        <w:vertAlign w:val="baseline"/>
        <w:position w:val="0"/>
        <w:sz w:val="24"/>
      </w:rPr>
    </w:lvl>
    <w:lvl w:ilvl="5">
      <w:start w:val="1"/>
      <w:numFmt w:val="bullet"/>
      <w:lvlText w:val="▪"/>
      <w:lvlJc w:val="left"/>
      <w:pPr>
        <w:tabs>
          <w:tab w:val="num" w:pos="0"/>
        </w:tabs>
        <w:ind w:left="4320" w:hanging="360"/>
      </w:pPr>
      <w:rPr>
        <w:rFonts w:ascii="Noto Sans" w:hAnsi="Noto Sans" w:cs="Noto Sans" w:hint="default"/>
        <w:vertAlign w:val="baseline"/>
        <w:position w:val="0"/>
        <w:sz w:val="24"/>
      </w:rPr>
    </w:lvl>
    <w:lvl w:ilvl="6">
      <w:start w:val="1"/>
      <w:numFmt w:val="bullet"/>
      <w:lvlText w:val="●"/>
      <w:lvlJc w:val="left"/>
      <w:pPr>
        <w:tabs>
          <w:tab w:val="num" w:pos="0"/>
        </w:tabs>
        <w:ind w:left="5040" w:hanging="360"/>
      </w:pPr>
      <w:rPr>
        <w:rFonts w:ascii="Noto Sans" w:hAnsi="Noto Sans" w:cs="Noto Sans" w:hint="default"/>
        <w:vertAlign w:val="baseline"/>
        <w:position w:val="0"/>
        <w:sz w:val="24"/>
      </w:rPr>
    </w:lvl>
    <w:lvl w:ilvl="7">
      <w:start w:val="1"/>
      <w:numFmt w:val="bullet"/>
      <w:lvlText w:val="o"/>
      <w:lvlJc w:val="left"/>
      <w:pPr>
        <w:tabs>
          <w:tab w:val="num" w:pos="0"/>
        </w:tabs>
        <w:ind w:left="5760" w:hanging="360"/>
      </w:pPr>
      <w:rPr>
        <w:rFonts w:ascii="Courier New" w:hAnsi="Courier New" w:cs="Courier New" w:hint="default"/>
        <w:vertAlign w:val="baseline"/>
        <w:position w:val="0"/>
        <w:sz w:val="24"/>
      </w:rPr>
    </w:lvl>
    <w:lvl w:ilvl="8">
      <w:start w:val="1"/>
      <w:numFmt w:val="bullet"/>
      <w:lvlText w:val="▪"/>
      <w:lvlJc w:val="left"/>
      <w:pPr>
        <w:tabs>
          <w:tab w:val="num" w:pos="0"/>
        </w:tabs>
        <w:ind w:left="6480" w:hanging="360"/>
      </w:pPr>
      <w:rPr>
        <w:rFonts w:ascii="Noto Sans" w:hAnsi="Noto Sans" w:cs="Noto Sans" w:hint="default"/>
        <w:vertAlign w:val="baseline"/>
        <w:position w:val="0"/>
        <w:sz w:val="24"/>
      </w:rPr>
    </w:lvl>
  </w:abstractNum>
  <w:abstractNum w:abstractNumId="17">
    <w:lvl w:ilvl="0">
      <w:start w:val="1"/>
      <w:numFmt w:val="decimal"/>
      <w:lvlText w:val="%1."/>
      <w:lvlJc w:val="left"/>
      <w:pPr>
        <w:tabs>
          <w:tab w:val="num" w:pos="0"/>
        </w:tabs>
        <w:ind w:left="360" w:hanging="360"/>
      </w:pPr>
      <w:rPr>
        <w:vertAlign w:val="baseline"/>
        <w:position w:val="0"/>
        <w:sz w:val="24"/>
        <w:b w:val="false"/>
        <w:color w:val="000000"/>
      </w:rPr>
    </w:lvl>
    <w:lvl w:ilvl="1">
      <w:start w:val="1"/>
      <w:numFmt w:val="decimal"/>
      <w:lvlText w:val="%1.%2."/>
      <w:lvlJc w:val="left"/>
      <w:pPr>
        <w:tabs>
          <w:tab w:val="num" w:pos="0"/>
        </w:tabs>
        <w:ind w:left="792" w:hanging="432"/>
      </w:pPr>
      <w:rPr>
        <w:vertAlign w:val="baseline"/>
        <w:position w:val="0"/>
        <w:sz w:val="24"/>
      </w:rPr>
    </w:lvl>
    <w:lvl w:ilvl="2">
      <w:start w:val="1"/>
      <w:numFmt w:val="decimal"/>
      <w:lvlText w:val="%1.%2.%3."/>
      <w:lvlJc w:val="left"/>
      <w:pPr>
        <w:tabs>
          <w:tab w:val="num" w:pos="0"/>
        </w:tabs>
        <w:ind w:left="1224" w:hanging="504"/>
      </w:pPr>
      <w:rPr>
        <w:vertAlign w:val="baseline"/>
        <w:position w:val="0"/>
        <w:sz w:val="24"/>
      </w:rPr>
    </w:lvl>
    <w:lvl w:ilvl="3">
      <w:start w:val="1"/>
      <w:numFmt w:val="decimal"/>
      <w:lvlText w:val="%1.%2.%3.%4."/>
      <w:lvlJc w:val="left"/>
      <w:pPr>
        <w:tabs>
          <w:tab w:val="num" w:pos="0"/>
        </w:tabs>
        <w:ind w:left="1728" w:hanging="647"/>
      </w:pPr>
      <w:rPr>
        <w:vertAlign w:val="baseline"/>
        <w:position w:val="0"/>
        <w:sz w:val="24"/>
      </w:rPr>
    </w:lvl>
    <w:lvl w:ilvl="4">
      <w:start w:val="1"/>
      <w:numFmt w:val="decimal"/>
      <w:lvlText w:val="%1.%2.%3.%4.%5."/>
      <w:lvlJc w:val="left"/>
      <w:pPr>
        <w:tabs>
          <w:tab w:val="num" w:pos="0"/>
        </w:tabs>
        <w:ind w:left="2232" w:hanging="792"/>
      </w:pPr>
      <w:rPr>
        <w:vertAlign w:val="baseline"/>
        <w:position w:val="0"/>
        <w:sz w:val="24"/>
      </w:rPr>
    </w:lvl>
    <w:lvl w:ilvl="5">
      <w:start w:val="1"/>
      <w:numFmt w:val="decimal"/>
      <w:lvlText w:val="%1.%2.%3.%4.%5.%6."/>
      <w:lvlJc w:val="left"/>
      <w:pPr>
        <w:tabs>
          <w:tab w:val="num" w:pos="0"/>
        </w:tabs>
        <w:ind w:left="2736" w:hanging="933"/>
      </w:pPr>
      <w:rPr>
        <w:vertAlign w:val="baseline"/>
        <w:position w:val="0"/>
        <w:sz w:val="24"/>
      </w:rPr>
    </w:lvl>
    <w:lvl w:ilvl="6">
      <w:start w:val="1"/>
      <w:numFmt w:val="decimal"/>
      <w:lvlText w:val="%1.%2.%3.%4.%5.%6.%7."/>
      <w:lvlJc w:val="left"/>
      <w:pPr>
        <w:tabs>
          <w:tab w:val="num" w:pos="0"/>
        </w:tabs>
        <w:ind w:left="3240" w:hanging="1080"/>
      </w:pPr>
      <w:rPr>
        <w:vertAlign w:val="baseline"/>
        <w:position w:val="0"/>
        <w:sz w:val="24"/>
      </w:rPr>
    </w:lvl>
    <w:lvl w:ilvl="7">
      <w:start w:val="1"/>
      <w:numFmt w:val="decimal"/>
      <w:lvlText w:val="%1.%2.%3.%4.%5.%6.%7.%8."/>
      <w:lvlJc w:val="left"/>
      <w:pPr>
        <w:tabs>
          <w:tab w:val="num" w:pos="0"/>
        </w:tabs>
        <w:ind w:left="3744" w:hanging="1224"/>
      </w:pPr>
      <w:rPr>
        <w:vertAlign w:val="baseline"/>
        <w:position w:val="0"/>
        <w:sz w:val="24"/>
      </w:rPr>
    </w:lvl>
    <w:lvl w:ilvl="8">
      <w:start w:val="1"/>
      <w:numFmt w:val="decimal"/>
      <w:lvlText w:val="%1.%2.%3.%4.%5.%6.%7.%8.%9."/>
      <w:lvlJc w:val="left"/>
      <w:pPr>
        <w:tabs>
          <w:tab w:val="num" w:pos="0"/>
        </w:tabs>
        <w:ind w:left="4320" w:hanging="1440"/>
      </w:pPr>
      <w:rPr>
        <w:vertAlign w:val="baseline"/>
        <w:position w:val="0"/>
        <w:sz w:val="24"/>
      </w:rPr>
    </w:lvl>
  </w:abstractNum>
  <w:abstractNum w:abstractNumId="18">
    <w:lvl w:ilvl="0">
      <w:start w:val="1"/>
      <w:numFmt w:val="bullet"/>
      <w:lvlText w:val="-"/>
      <w:lvlJc w:val="left"/>
      <w:pPr>
        <w:tabs>
          <w:tab w:val="num" w:pos="0"/>
        </w:tabs>
        <w:ind w:left="720" w:hanging="360"/>
      </w:pPr>
      <w:rPr>
        <w:rFonts w:ascii="Arial" w:hAnsi="Arial" w:cs="Arial" w:hint="default"/>
        <w:vertAlign w:val="baseline"/>
        <w:position w:val="0"/>
        <w:sz w:val="24"/>
      </w:rPr>
    </w:lvl>
    <w:lvl w:ilvl="1">
      <w:start w:val="1"/>
      <w:numFmt w:val="bullet"/>
      <w:lvlText w:val="o"/>
      <w:lvlJc w:val="left"/>
      <w:pPr>
        <w:tabs>
          <w:tab w:val="num" w:pos="0"/>
        </w:tabs>
        <w:ind w:left="1440" w:hanging="360"/>
      </w:pPr>
      <w:rPr>
        <w:rFonts w:ascii="Courier New" w:hAnsi="Courier New" w:cs="Courier New" w:hint="default"/>
        <w:vertAlign w:val="baseline"/>
        <w:position w:val="0"/>
        <w:sz w:val="24"/>
      </w:rPr>
    </w:lvl>
    <w:lvl w:ilvl="2">
      <w:start w:val="1"/>
      <w:numFmt w:val="bullet"/>
      <w:lvlText w:val="▪"/>
      <w:lvlJc w:val="left"/>
      <w:pPr>
        <w:tabs>
          <w:tab w:val="num" w:pos="0"/>
        </w:tabs>
        <w:ind w:left="2160" w:hanging="360"/>
      </w:pPr>
      <w:rPr>
        <w:rFonts w:ascii="Noto Sans" w:hAnsi="Noto Sans" w:cs="Noto Sans" w:hint="default"/>
        <w:vertAlign w:val="baseline"/>
        <w:position w:val="0"/>
        <w:sz w:val="24"/>
      </w:rPr>
    </w:lvl>
    <w:lvl w:ilvl="3">
      <w:start w:val="1"/>
      <w:numFmt w:val="bullet"/>
      <w:lvlText w:val="●"/>
      <w:lvlJc w:val="left"/>
      <w:pPr>
        <w:tabs>
          <w:tab w:val="num" w:pos="0"/>
        </w:tabs>
        <w:ind w:left="2880" w:hanging="360"/>
      </w:pPr>
      <w:rPr>
        <w:rFonts w:ascii="Noto Sans" w:hAnsi="Noto Sans" w:cs="Noto Sans" w:hint="default"/>
        <w:vertAlign w:val="baseline"/>
        <w:position w:val="0"/>
        <w:sz w:val="24"/>
      </w:rPr>
    </w:lvl>
    <w:lvl w:ilvl="4">
      <w:start w:val="1"/>
      <w:numFmt w:val="bullet"/>
      <w:lvlText w:val="o"/>
      <w:lvlJc w:val="left"/>
      <w:pPr>
        <w:tabs>
          <w:tab w:val="num" w:pos="0"/>
        </w:tabs>
        <w:ind w:left="3600" w:hanging="360"/>
      </w:pPr>
      <w:rPr>
        <w:rFonts w:ascii="Courier New" w:hAnsi="Courier New" w:cs="Courier New" w:hint="default"/>
        <w:vertAlign w:val="baseline"/>
        <w:position w:val="0"/>
        <w:sz w:val="24"/>
      </w:rPr>
    </w:lvl>
    <w:lvl w:ilvl="5">
      <w:start w:val="1"/>
      <w:numFmt w:val="bullet"/>
      <w:lvlText w:val="▪"/>
      <w:lvlJc w:val="left"/>
      <w:pPr>
        <w:tabs>
          <w:tab w:val="num" w:pos="0"/>
        </w:tabs>
        <w:ind w:left="4320" w:hanging="360"/>
      </w:pPr>
      <w:rPr>
        <w:rFonts w:ascii="Noto Sans" w:hAnsi="Noto Sans" w:cs="Noto Sans" w:hint="default"/>
        <w:vertAlign w:val="baseline"/>
        <w:position w:val="0"/>
        <w:sz w:val="24"/>
      </w:rPr>
    </w:lvl>
    <w:lvl w:ilvl="6">
      <w:start w:val="1"/>
      <w:numFmt w:val="bullet"/>
      <w:lvlText w:val="●"/>
      <w:lvlJc w:val="left"/>
      <w:pPr>
        <w:tabs>
          <w:tab w:val="num" w:pos="0"/>
        </w:tabs>
        <w:ind w:left="5040" w:hanging="360"/>
      </w:pPr>
      <w:rPr>
        <w:rFonts w:ascii="Noto Sans" w:hAnsi="Noto Sans" w:cs="Noto Sans" w:hint="default"/>
        <w:vertAlign w:val="baseline"/>
        <w:position w:val="0"/>
        <w:sz w:val="24"/>
      </w:rPr>
    </w:lvl>
    <w:lvl w:ilvl="7">
      <w:start w:val="1"/>
      <w:numFmt w:val="bullet"/>
      <w:lvlText w:val="o"/>
      <w:lvlJc w:val="left"/>
      <w:pPr>
        <w:tabs>
          <w:tab w:val="num" w:pos="0"/>
        </w:tabs>
        <w:ind w:left="5760" w:hanging="360"/>
      </w:pPr>
      <w:rPr>
        <w:rFonts w:ascii="Courier New" w:hAnsi="Courier New" w:cs="Courier New" w:hint="default"/>
        <w:vertAlign w:val="baseline"/>
        <w:position w:val="0"/>
        <w:sz w:val="24"/>
      </w:rPr>
    </w:lvl>
    <w:lvl w:ilvl="8">
      <w:start w:val="1"/>
      <w:numFmt w:val="bullet"/>
      <w:lvlText w:val="▪"/>
      <w:lvlJc w:val="left"/>
      <w:pPr>
        <w:tabs>
          <w:tab w:val="num" w:pos="0"/>
        </w:tabs>
        <w:ind w:left="6480" w:hanging="360"/>
      </w:pPr>
      <w:rPr>
        <w:rFonts w:ascii="Noto Sans" w:hAnsi="Noto Sans" w:cs="Noto Sans" w:hint="default"/>
        <w:vertAlign w:val="baseline"/>
        <w:position w:val="0"/>
        <w:sz w:val="24"/>
      </w:rPr>
    </w:lvl>
  </w:abstractNum>
  <w:abstractNum w:abstractNumId="19">
    <w:lvl w:ilvl="0">
      <w:start w:val="1"/>
      <w:numFmt w:val="bullet"/>
      <w:lvlText w:val="●"/>
      <w:lvlJc w:val="left"/>
      <w:pPr>
        <w:tabs>
          <w:tab w:val="num" w:pos="0"/>
        </w:tabs>
        <w:ind w:left="1429" w:hanging="360"/>
      </w:pPr>
      <w:rPr>
        <w:rFonts w:ascii="Noto Sans" w:hAnsi="Noto Sans" w:cs="Noto Sans" w:hint="default"/>
        <w:vertAlign w:val="baseline"/>
        <w:position w:val="0"/>
        <w:sz w:val="24"/>
      </w:rPr>
    </w:lvl>
    <w:lvl w:ilvl="1">
      <w:start w:val="1"/>
      <w:numFmt w:val="bullet"/>
      <w:lvlText w:val="o"/>
      <w:lvlJc w:val="left"/>
      <w:pPr>
        <w:tabs>
          <w:tab w:val="num" w:pos="0"/>
        </w:tabs>
        <w:ind w:left="2149" w:hanging="360"/>
      </w:pPr>
      <w:rPr>
        <w:rFonts w:ascii="Courier New" w:hAnsi="Courier New" w:cs="Courier New" w:hint="default"/>
        <w:vertAlign w:val="baseline"/>
        <w:position w:val="0"/>
        <w:sz w:val="24"/>
      </w:rPr>
    </w:lvl>
    <w:lvl w:ilvl="2">
      <w:start w:val="1"/>
      <w:numFmt w:val="bullet"/>
      <w:lvlText w:val="▪"/>
      <w:lvlJc w:val="left"/>
      <w:pPr>
        <w:tabs>
          <w:tab w:val="num" w:pos="0"/>
        </w:tabs>
        <w:ind w:left="2869" w:hanging="360"/>
      </w:pPr>
      <w:rPr>
        <w:rFonts w:ascii="Noto Sans" w:hAnsi="Noto Sans" w:cs="Noto Sans" w:hint="default"/>
        <w:vertAlign w:val="baseline"/>
        <w:position w:val="0"/>
        <w:sz w:val="24"/>
      </w:rPr>
    </w:lvl>
    <w:lvl w:ilvl="3">
      <w:start w:val="1"/>
      <w:numFmt w:val="bullet"/>
      <w:lvlText w:val="●"/>
      <w:lvlJc w:val="left"/>
      <w:pPr>
        <w:tabs>
          <w:tab w:val="num" w:pos="0"/>
        </w:tabs>
        <w:ind w:left="3589" w:hanging="360"/>
      </w:pPr>
      <w:rPr>
        <w:rFonts w:ascii="Noto Sans" w:hAnsi="Noto Sans" w:cs="Noto Sans" w:hint="default"/>
        <w:vertAlign w:val="baseline"/>
        <w:position w:val="0"/>
        <w:sz w:val="24"/>
      </w:rPr>
    </w:lvl>
    <w:lvl w:ilvl="4">
      <w:start w:val="1"/>
      <w:numFmt w:val="bullet"/>
      <w:lvlText w:val="o"/>
      <w:lvlJc w:val="left"/>
      <w:pPr>
        <w:tabs>
          <w:tab w:val="num" w:pos="0"/>
        </w:tabs>
        <w:ind w:left="4309" w:hanging="360"/>
      </w:pPr>
      <w:rPr>
        <w:rFonts w:ascii="Courier New" w:hAnsi="Courier New" w:cs="Courier New" w:hint="default"/>
        <w:vertAlign w:val="baseline"/>
        <w:position w:val="0"/>
        <w:sz w:val="24"/>
      </w:rPr>
    </w:lvl>
    <w:lvl w:ilvl="5">
      <w:start w:val="1"/>
      <w:numFmt w:val="bullet"/>
      <w:lvlText w:val="▪"/>
      <w:lvlJc w:val="left"/>
      <w:pPr>
        <w:tabs>
          <w:tab w:val="num" w:pos="0"/>
        </w:tabs>
        <w:ind w:left="5029" w:hanging="360"/>
      </w:pPr>
      <w:rPr>
        <w:rFonts w:ascii="Noto Sans" w:hAnsi="Noto Sans" w:cs="Noto Sans" w:hint="default"/>
        <w:vertAlign w:val="baseline"/>
        <w:position w:val="0"/>
        <w:sz w:val="24"/>
      </w:rPr>
    </w:lvl>
    <w:lvl w:ilvl="6">
      <w:start w:val="1"/>
      <w:numFmt w:val="bullet"/>
      <w:lvlText w:val="●"/>
      <w:lvlJc w:val="left"/>
      <w:pPr>
        <w:tabs>
          <w:tab w:val="num" w:pos="0"/>
        </w:tabs>
        <w:ind w:left="5749" w:hanging="360"/>
      </w:pPr>
      <w:rPr>
        <w:rFonts w:ascii="Noto Sans" w:hAnsi="Noto Sans" w:cs="Noto Sans" w:hint="default"/>
        <w:vertAlign w:val="baseline"/>
        <w:position w:val="0"/>
        <w:sz w:val="24"/>
      </w:rPr>
    </w:lvl>
    <w:lvl w:ilvl="7">
      <w:start w:val="1"/>
      <w:numFmt w:val="bullet"/>
      <w:lvlText w:val="o"/>
      <w:lvlJc w:val="left"/>
      <w:pPr>
        <w:tabs>
          <w:tab w:val="num" w:pos="0"/>
        </w:tabs>
        <w:ind w:left="6469" w:hanging="360"/>
      </w:pPr>
      <w:rPr>
        <w:rFonts w:ascii="Courier New" w:hAnsi="Courier New" w:cs="Courier New" w:hint="default"/>
        <w:vertAlign w:val="baseline"/>
        <w:position w:val="0"/>
        <w:sz w:val="24"/>
      </w:rPr>
    </w:lvl>
    <w:lvl w:ilvl="8">
      <w:start w:val="1"/>
      <w:numFmt w:val="bullet"/>
      <w:lvlText w:val="▪"/>
      <w:lvlJc w:val="left"/>
      <w:pPr>
        <w:tabs>
          <w:tab w:val="num" w:pos="0"/>
        </w:tabs>
        <w:ind w:left="7189" w:hanging="360"/>
      </w:pPr>
      <w:rPr>
        <w:rFonts w:ascii="Noto Sans" w:hAnsi="Noto Sans" w:cs="Noto Sans" w:hint="default"/>
        <w:vertAlign w:val="baseline"/>
        <w:position w:val="0"/>
        <w:sz w:val="24"/>
      </w:rPr>
    </w:lvl>
  </w:abstractNum>
  <w:abstractNum w:abstractNumId="20">
    <w:lvl w:ilvl="0">
      <w:start w:val="1"/>
      <w:numFmt w:val="decimal"/>
      <w:lvlText w:val="%1."/>
      <w:lvlJc w:val="left"/>
      <w:pPr>
        <w:tabs>
          <w:tab w:val="num" w:pos="0"/>
        </w:tabs>
        <w:ind w:left="360" w:hanging="360"/>
      </w:pPr>
      <w:rPr>
        <w:vertAlign w:val="baseline"/>
        <w:position w:val="0"/>
        <w:sz w:val="24"/>
        <w:b w:val="false"/>
        <w:color w:val="000000"/>
      </w:rPr>
    </w:lvl>
    <w:lvl w:ilvl="1">
      <w:start w:val="1"/>
      <w:numFmt w:val="decimal"/>
      <w:lvlText w:val="%1.%2."/>
      <w:lvlJc w:val="left"/>
      <w:pPr>
        <w:tabs>
          <w:tab w:val="num" w:pos="0"/>
        </w:tabs>
        <w:ind w:left="792" w:hanging="432"/>
      </w:pPr>
      <w:rPr>
        <w:vertAlign w:val="baseline"/>
        <w:position w:val="0"/>
        <w:sz w:val="24"/>
      </w:rPr>
    </w:lvl>
    <w:lvl w:ilvl="2">
      <w:start w:val="1"/>
      <w:numFmt w:val="decimal"/>
      <w:lvlText w:val="%1.%2.%3."/>
      <w:lvlJc w:val="left"/>
      <w:pPr>
        <w:tabs>
          <w:tab w:val="num" w:pos="0"/>
        </w:tabs>
        <w:ind w:left="1224" w:hanging="504"/>
      </w:pPr>
      <w:rPr>
        <w:vertAlign w:val="baseline"/>
        <w:position w:val="0"/>
        <w:sz w:val="24"/>
      </w:rPr>
    </w:lvl>
    <w:lvl w:ilvl="3">
      <w:start w:val="1"/>
      <w:numFmt w:val="decimal"/>
      <w:lvlText w:val="%1.%2.%3.%4."/>
      <w:lvlJc w:val="left"/>
      <w:pPr>
        <w:tabs>
          <w:tab w:val="num" w:pos="0"/>
        </w:tabs>
        <w:ind w:left="1728" w:hanging="647"/>
      </w:pPr>
      <w:rPr>
        <w:vertAlign w:val="baseline"/>
        <w:position w:val="0"/>
        <w:sz w:val="24"/>
      </w:rPr>
    </w:lvl>
    <w:lvl w:ilvl="4">
      <w:start w:val="1"/>
      <w:numFmt w:val="decimal"/>
      <w:lvlText w:val="%1.%2.%3.%4.%5."/>
      <w:lvlJc w:val="left"/>
      <w:pPr>
        <w:tabs>
          <w:tab w:val="num" w:pos="0"/>
        </w:tabs>
        <w:ind w:left="2232" w:hanging="792"/>
      </w:pPr>
      <w:rPr>
        <w:vertAlign w:val="baseline"/>
        <w:position w:val="0"/>
        <w:sz w:val="24"/>
      </w:rPr>
    </w:lvl>
    <w:lvl w:ilvl="5">
      <w:start w:val="1"/>
      <w:numFmt w:val="decimal"/>
      <w:lvlText w:val="%1.%2.%3.%4.%5.%6."/>
      <w:lvlJc w:val="left"/>
      <w:pPr>
        <w:tabs>
          <w:tab w:val="num" w:pos="0"/>
        </w:tabs>
        <w:ind w:left="2736" w:hanging="933"/>
      </w:pPr>
      <w:rPr>
        <w:vertAlign w:val="baseline"/>
        <w:position w:val="0"/>
        <w:sz w:val="24"/>
      </w:rPr>
    </w:lvl>
    <w:lvl w:ilvl="6">
      <w:start w:val="1"/>
      <w:numFmt w:val="decimal"/>
      <w:lvlText w:val="%1.%2.%3.%4.%5.%6.%7."/>
      <w:lvlJc w:val="left"/>
      <w:pPr>
        <w:tabs>
          <w:tab w:val="num" w:pos="0"/>
        </w:tabs>
        <w:ind w:left="3240" w:hanging="1080"/>
      </w:pPr>
      <w:rPr>
        <w:vertAlign w:val="baseline"/>
        <w:position w:val="0"/>
        <w:sz w:val="24"/>
      </w:rPr>
    </w:lvl>
    <w:lvl w:ilvl="7">
      <w:start w:val="1"/>
      <w:numFmt w:val="decimal"/>
      <w:lvlText w:val="%1.%2.%3.%4.%5.%6.%7.%8."/>
      <w:lvlJc w:val="left"/>
      <w:pPr>
        <w:tabs>
          <w:tab w:val="num" w:pos="0"/>
        </w:tabs>
        <w:ind w:left="3744" w:hanging="1224"/>
      </w:pPr>
      <w:rPr>
        <w:vertAlign w:val="baseline"/>
        <w:position w:val="0"/>
        <w:sz w:val="24"/>
      </w:rPr>
    </w:lvl>
    <w:lvl w:ilvl="8">
      <w:start w:val="1"/>
      <w:numFmt w:val="decimal"/>
      <w:lvlText w:val="%1.%2.%3.%4.%5.%6.%7.%8.%9."/>
      <w:lvlJc w:val="left"/>
      <w:pPr>
        <w:tabs>
          <w:tab w:val="num" w:pos="0"/>
        </w:tabs>
        <w:ind w:left="4320" w:hanging="1440"/>
      </w:pPr>
      <w:rPr>
        <w:vertAlign w:val="baseline"/>
        <w:position w:val="0"/>
        <w:sz w:val="24"/>
      </w:rPr>
    </w:lvl>
  </w:abstractNum>
  <w:abstractNum w:abstractNumId="21">
    <w:lvl w:ilvl="0">
      <w:start w:val="1"/>
      <w:numFmt w:val="bullet"/>
      <w:lvlText w:val="●"/>
      <w:lvlJc w:val="left"/>
      <w:pPr>
        <w:tabs>
          <w:tab w:val="num" w:pos="0"/>
        </w:tabs>
        <w:ind w:left="720" w:hanging="360"/>
      </w:pPr>
      <w:rPr>
        <w:rFonts w:ascii="Noto Sans" w:hAnsi="Noto Sans" w:cs="Noto Sans" w:hint="default"/>
        <w:vertAlign w:val="baseline"/>
        <w:position w:val="0"/>
        <w:sz w:val="24"/>
      </w:rPr>
    </w:lvl>
    <w:lvl w:ilvl="1">
      <w:start w:val="1"/>
      <w:numFmt w:val="bullet"/>
      <w:lvlText w:val="o"/>
      <w:lvlJc w:val="left"/>
      <w:pPr>
        <w:tabs>
          <w:tab w:val="num" w:pos="0"/>
        </w:tabs>
        <w:ind w:left="1440" w:hanging="360"/>
      </w:pPr>
      <w:rPr>
        <w:rFonts w:ascii="Courier New" w:hAnsi="Courier New" w:cs="Courier New" w:hint="default"/>
        <w:vertAlign w:val="baseline"/>
        <w:position w:val="0"/>
        <w:sz w:val="24"/>
      </w:rPr>
    </w:lvl>
    <w:lvl w:ilvl="2">
      <w:start w:val="1"/>
      <w:numFmt w:val="bullet"/>
      <w:lvlText w:val="▪"/>
      <w:lvlJc w:val="left"/>
      <w:pPr>
        <w:tabs>
          <w:tab w:val="num" w:pos="0"/>
        </w:tabs>
        <w:ind w:left="2160" w:hanging="360"/>
      </w:pPr>
      <w:rPr>
        <w:rFonts w:ascii="Noto Sans" w:hAnsi="Noto Sans" w:cs="Noto Sans" w:hint="default"/>
        <w:vertAlign w:val="baseline"/>
        <w:position w:val="0"/>
        <w:sz w:val="24"/>
      </w:rPr>
    </w:lvl>
    <w:lvl w:ilvl="3">
      <w:start w:val="1"/>
      <w:numFmt w:val="bullet"/>
      <w:lvlText w:val="●"/>
      <w:lvlJc w:val="left"/>
      <w:pPr>
        <w:tabs>
          <w:tab w:val="num" w:pos="0"/>
        </w:tabs>
        <w:ind w:left="2880" w:hanging="360"/>
      </w:pPr>
      <w:rPr>
        <w:rFonts w:ascii="Noto Sans" w:hAnsi="Noto Sans" w:cs="Noto Sans" w:hint="default"/>
        <w:vertAlign w:val="baseline"/>
        <w:position w:val="0"/>
        <w:sz w:val="24"/>
      </w:rPr>
    </w:lvl>
    <w:lvl w:ilvl="4">
      <w:start w:val="1"/>
      <w:numFmt w:val="bullet"/>
      <w:lvlText w:val="o"/>
      <w:lvlJc w:val="left"/>
      <w:pPr>
        <w:tabs>
          <w:tab w:val="num" w:pos="0"/>
        </w:tabs>
        <w:ind w:left="3600" w:hanging="360"/>
      </w:pPr>
      <w:rPr>
        <w:rFonts w:ascii="Courier New" w:hAnsi="Courier New" w:cs="Courier New" w:hint="default"/>
        <w:vertAlign w:val="baseline"/>
        <w:position w:val="0"/>
        <w:sz w:val="24"/>
      </w:rPr>
    </w:lvl>
    <w:lvl w:ilvl="5">
      <w:start w:val="1"/>
      <w:numFmt w:val="bullet"/>
      <w:lvlText w:val="▪"/>
      <w:lvlJc w:val="left"/>
      <w:pPr>
        <w:tabs>
          <w:tab w:val="num" w:pos="0"/>
        </w:tabs>
        <w:ind w:left="4320" w:hanging="360"/>
      </w:pPr>
      <w:rPr>
        <w:rFonts w:ascii="Noto Sans" w:hAnsi="Noto Sans" w:cs="Noto Sans" w:hint="default"/>
        <w:vertAlign w:val="baseline"/>
        <w:position w:val="0"/>
        <w:sz w:val="24"/>
      </w:rPr>
    </w:lvl>
    <w:lvl w:ilvl="6">
      <w:start w:val="1"/>
      <w:numFmt w:val="bullet"/>
      <w:lvlText w:val="●"/>
      <w:lvlJc w:val="left"/>
      <w:pPr>
        <w:tabs>
          <w:tab w:val="num" w:pos="0"/>
        </w:tabs>
        <w:ind w:left="5040" w:hanging="360"/>
      </w:pPr>
      <w:rPr>
        <w:rFonts w:ascii="Noto Sans" w:hAnsi="Noto Sans" w:cs="Noto Sans" w:hint="default"/>
        <w:vertAlign w:val="baseline"/>
        <w:position w:val="0"/>
        <w:sz w:val="24"/>
      </w:rPr>
    </w:lvl>
    <w:lvl w:ilvl="7">
      <w:start w:val="1"/>
      <w:numFmt w:val="bullet"/>
      <w:lvlText w:val="o"/>
      <w:lvlJc w:val="left"/>
      <w:pPr>
        <w:tabs>
          <w:tab w:val="num" w:pos="0"/>
        </w:tabs>
        <w:ind w:left="5760" w:hanging="360"/>
      </w:pPr>
      <w:rPr>
        <w:rFonts w:ascii="Courier New" w:hAnsi="Courier New" w:cs="Courier New" w:hint="default"/>
        <w:vertAlign w:val="baseline"/>
        <w:position w:val="0"/>
        <w:sz w:val="24"/>
      </w:rPr>
    </w:lvl>
    <w:lvl w:ilvl="8">
      <w:start w:val="1"/>
      <w:numFmt w:val="bullet"/>
      <w:lvlText w:val="▪"/>
      <w:lvlJc w:val="left"/>
      <w:pPr>
        <w:tabs>
          <w:tab w:val="num" w:pos="0"/>
        </w:tabs>
        <w:ind w:left="6480" w:hanging="360"/>
      </w:pPr>
      <w:rPr>
        <w:rFonts w:ascii="Noto Sans" w:hAnsi="Noto Sans" w:cs="Noto Sans" w:hint="default"/>
        <w:vertAlign w:val="baseline"/>
        <w:position w:val="0"/>
        <w:sz w:val="24"/>
      </w:rPr>
    </w:lvl>
  </w:abstractNum>
  <w:abstractNum w:abstractNumId="22">
    <w:lvl w:ilvl="0">
      <w:start w:val="1"/>
      <w:numFmt w:val="decimal"/>
      <w:lvlText w:val="%1."/>
      <w:lvlJc w:val="left"/>
      <w:pPr>
        <w:tabs>
          <w:tab w:val="num" w:pos="0"/>
        </w:tabs>
        <w:ind w:left="360" w:hanging="360"/>
      </w:pPr>
      <w:rPr>
        <w:vertAlign w:val="baseline"/>
        <w:position w:val="0"/>
        <w:sz w:val="24"/>
        <w:b w:val="false"/>
        <w:color w:val="000000"/>
      </w:rPr>
    </w:lvl>
    <w:lvl w:ilvl="1">
      <w:start w:val="1"/>
      <w:numFmt w:val="decimal"/>
      <w:lvlText w:val="%1.%2."/>
      <w:lvlJc w:val="left"/>
      <w:pPr>
        <w:tabs>
          <w:tab w:val="num" w:pos="0"/>
        </w:tabs>
        <w:ind w:left="792" w:hanging="432"/>
      </w:pPr>
      <w:rPr>
        <w:vertAlign w:val="baseline"/>
        <w:position w:val="0"/>
        <w:sz w:val="24"/>
      </w:rPr>
    </w:lvl>
    <w:lvl w:ilvl="2">
      <w:start w:val="1"/>
      <w:numFmt w:val="decimal"/>
      <w:lvlText w:val="%1.%2.%3."/>
      <w:lvlJc w:val="left"/>
      <w:pPr>
        <w:tabs>
          <w:tab w:val="num" w:pos="0"/>
        </w:tabs>
        <w:ind w:left="1224" w:hanging="504"/>
      </w:pPr>
      <w:rPr>
        <w:vertAlign w:val="baseline"/>
        <w:position w:val="0"/>
        <w:sz w:val="24"/>
      </w:rPr>
    </w:lvl>
    <w:lvl w:ilvl="3">
      <w:start w:val="1"/>
      <w:numFmt w:val="decimal"/>
      <w:lvlText w:val="%1.%2.%3.%4."/>
      <w:lvlJc w:val="left"/>
      <w:pPr>
        <w:tabs>
          <w:tab w:val="num" w:pos="0"/>
        </w:tabs>
        <w:ind w:left="1728" w:hanging="647"/>
      </w:pPr>
      <w:rPr>
        <w:vertAlign w:val="baseline"/>
        <w:position w:val="0"/>
        <w:sz w:val="24"/>
      </w:rPr>
    </w:lvl>
    <w:lvl w:ilvl="4">
      <w:start w:val="1"/>
      <w:numFmt w:val="decimal"/>
      <w:lvlText w:val="%1.%2.%3.%4.%5."/>
      <w:lvlJc w:val="left"/>
      <w:pPr>
        <w:tabs>
          <w:tab w:val="num" w:pos="0"/>
        </w:tabs>
        <w:ind w:left="2232" w:hanging="792"/>
      </w:pPr>
      <w:rPr>
        <w:vertAlign w:val="baseline"/>
        <w:position w:val="0"/>
        <w:sz w:val="24"/>
      </w:rPr>
    </w:lvl>
    <w:lvl w:ilvl="5">
      <w:start w:val="1"/>
      <w:numFmt w:val="decimal"/>
      <w:lvlText w:val="%1.%2.%3.%4.%5.%6."/>
      <w:lvlJc w:val="left"/>
      <w:pPr>
        <w:tabs>
          <w:tab w:val="num" w:pos="0"/>
        </w:tabs>
        <w:ind w:left="2736" w:hanging="933"/>
      </w:pPr>
      <w:rPr>
        <w:vertAlign w:val="baseline"/>
        <w:position w:val="0"/>
        <w:sz w:val="24"/>
      </w:rPr>
    </w:lvl>
    <w:lvl w:ilvl="6">
      <w:start w:val="1"/>
      <w:numFmt w:val="decimal"/>
      <w:lvlText w:val="%1.%2.%3.%4.%5.%6.%7."/>
      <w:lvlJc w:val="left"/>
      <w:pPr>
        <w:tabs>
          <w:tab w:val="num" w:pos="0"/>
        </w:tabs>
        <w:ind w:left="3240" w:hanging="1080"/>
      </w:pPr>
      <w:rPr>
        <w:vertAlign w:val="baseline"/>
        <w:position w:val="0"/>
        <w:sz w:val="24"/>
      </w:rPr>
    </w:lvl>
    <w:lvl w:ilvl="7">
      <w:start w:val="1"/>
      <w:numFmt w:val="decimal"/>
      <w:lvlText w:val="%1.%2.%3.%4.%5.%6.%7.%8."/>
      <w:lvlJc w:val="left"/>
      <w:pPr>
        <w:tabs>
          <w:tab w:val="num" w:pos="0"/>
        </w:tabs>
        <w:ind w:left="3744" w:hanging="1224"/>
      </w:pPr>
      <w:rPr>
        <w:vertAlign w:val="baseline"/>
        <w:position w:val="0"/>
        <w:sz w:val="24"/>
      </w:rPr>
    </w:lvl>
    <w:lvl w:ilvl="8">
      <w:start w:val="1"/>
      <w:numFmt w:val="decimal"/>
      <w:lvlText w:val="%1.%2.%3.%4.%5.%6.%7.%8.%9."/>
      <w:lvlJc w:val="left"/>
      <w:pPr>
        <w:tabs>
          <w:tab w:val="num" w:pos="0"/>
        </w:tabs>
        <w:ind w:left="4320" w:hanging="1440"/>
      </w:pPr>
      <w:rPr>
        <w:vertAlign w:val="baseline"/>
        <w:position w:val="0"/>
        <w:sz w:val="24"/>
      </w:rPr>
    </w:lvl>
  </w:abstractNum>
  <w:abstractNum w:abstractNumId="23">
    <w:lvl w:ilvl="0">
      <w:start w:val="6"/>
      <w:numFmt w:val="decimal"/>
      <w:lvlText w:val="%1"/>
      <w:lvlJc w:val="left"/>
      <w:pPr>
        <w:tabs>
          <w:tab w:val="num" w:pos="0"/>
        </w:tabs>
        <w:ind w:left="720" w:hanging="360"/>
      </w:pPr>
      <w:rPr>
        <w:vertAlign w:val="baseline"/>
        <w:position w:val="0"/>
        <w:sz w:val="24"/>
      </w:rPr>
    </w:lvl>
    <w:lvl w:ilvl="1">
      <w:start w:val="1"/>
      <w:numFmt w:val="decimal"/>
      <w:lvlText w:val="%1.%2"/>
      <w:lvlJc w:val="left"/>
      <w:pPr>
        <w:tabs>
          <w:tab w:val="num" w:pos="0"/>
        </w:tabs>
        <w:ind w:left="786" w:hanging="360"/>
      </w:pPr>
      <w:rPr>
        <w:vertAlign w:val="baseline"/>
        <w:position w:val="0"/>
        <w:sz w:val="24"/>
        <w:b/>
        <w:color w:val="000000"/>
      </w:rPr>
    </w:lvl>
    <w:lvl w:ilvl="2">
      <w:start w:val="1"/>
      <w:numFmt w:val="decimal"/>
      <w:lvlText w:val="%1.%2.%3"/>
      <w:lvlJc w:val="left"/>
      <w:pPr>
        <w:tabs>
          <w:tab w:val="num" w:pos="0"/>
        </w:tabs>
        <w:ind w:left="1212" w:hanging="720"/>
      </w:pPr>
      <w:rPr>
        <w:vertAlign w:val="baseline"/>
        <w:position w:val="0"/>
        <w:sz w:val="24"/>
        <w:b/>
        <w:color w:val="000000"/>
      </w:rPr>
    </w:lvl>
    <w:lvl w:ilvl="3">
      <w:start w:val="1"/>
      <w:numFmt w:val="decimal"/>
      <w:lvlText w:val="%1.%2.%3.%4"/>
      <w:lvlJc w:val="left"/>
      <w:pPr>
        <w:tabs>
          <w:tab w:val="num" w:pos="0"/>
        </w:tabs>
        <w:ind w:left="1638" w:hanging="1080"/>
      </w:pPr>
      <w:rPr>
        <w:vertAlign w:val="baseline"/>
        <w:position w:val="0"/>
        <w:sz w:val="24"/>
        <w:b/>
        <w:color w:val="000000"/>
      </w:rPr>
    </w:lvl>
    <w:lvl w:ilvl="4">
      <w:start w:val="1"/>
      <w:numFmt w:val="decimal"/>
      <w:lvlText w:val="%1.%2.%3.%4.%5"/>
      <w:lvlJc w:val="left"/>
      <w:pPr>
        <w:tabs>
          <w:tab w:val="num" w:pos="0"/>
        </w:tabs>
        <w:ind w:left="1704" w:hanging="1080"/>
      </w:pPr>
      <w:rPr>
        <w:vertAlign w:val="baseline"/>
        <w:position w:val="0"/>
        <w:sz w:val="24"/>
        <w:b/>
        <w:color w:val="000000"/>
      </w:rPr>
    </w:lvl>
    <w:lvl w:ilvl="5">
      <w:start w:val="1"/>
      <w:numFmt w:val="decimal"/>
      <w:lvlText w:val="%1.%2.%3.%4.%5.%6"/>
      <w:lvlJc w:val="left"/>
      <w:pPr>
        <w:tabs>
          <w:tab w:val="num" w:pos="0"/>
        </w:tabs>
        <w:ind w:left="2130" w:hanging="1440"/>
      </w:pPr>
      <w:rPr>
        <w:vertAlign w:val="baseline"/>
        <w:position w:val="0"/>
        <w:sz w:val="24"/>
        <w:b/>
        <w:color w:val="000000"/>
      </w:rPr>
    </w:lvl>
    <w:lvl w:ilvl="6">
      <w:start w:val="1"/>
      <w:numFmt w:val="decimal"/>
      <w:lvlText w:val="%1.%2.%3.%4.%5.%6.%7"/>
      <w:lvlJc w:val="left"/>
      <w:pPr>
        <w:tabs>
          <w:tab w:val="num" w:pos="0"/>
        </w:tabs>
        <w:ind w:left="2196" w:hanging="1440"/>
      </w:pPr>
      <w:rPr>
        <w:vertAlign w:val="baseline"/>
        <w:position w:val="0"/>
        <w:sz w:val="24"/>
        <w:b/>
        <w:color w:val="000000"/>
      </w:rPr>
    </w:lvl>
    <w:lvl w:ilvl="7">
      <w:start w:val="1"/>
      <w:numFmt w:val="decimal"/>
      <w:lvlText w:val="%1.%2.%3.%4.%5.%6.%7.%8"/>
      <w:lvlJc w:val="left"/>
      <w:pPr>
        <w:tabs>
          <w:tab w:val="num" w:pos="0"/>
        </w:tabs>
        <w:ind w:left="2622" w:hanging="1800"/>
      </w:pPr>
      <w:rPr>
        <w:vertAlign w:val="baseline"/>
        <w:position w:val="0"/>
        <w:sz w:val="24"/>
        <w:b/>
        <w:color w:val="000000"/>
      </w:rPr>
    </w:lvl>
    <w:lvl w:ilvl="8">
      <w:start w:val="1"/>
      <w:numFmt w:val="decimal"/>
      <w:lvlText w:val="%1.%2.%3.%4.%5.%6.%7.%8.%9"/>
      <w:lvlJc w:val="left"/>
      <w:pPr>
        <w:tabs>
          <w:tab w:val="num" w:pos="0"/>
        </w:tabs>
        <w:ind w:left="2688" w:hanging="1800"/>
      </w:pPr>
      <w:rPr>
        <w:vertAlign w:val="baseline"/>
        <w:position w:val="0"/>
        <w:sz w:val="24"/>
        <w:b/>
        <w:color w:val="000000"/>
      </w:rPr>
    </w:lvl>
  </w:abstractNum>
  <w:abstractNum w:abstractNumId="24">
    <w:lvl w:ilvl="0">
      <w:start w:val="1"/>
      <w:numFmt w:val="bullet"/>
      <w:lvlText w:val="●"/>
      <w:lvlJc w:val="left"/>
      <w:pPr>
        <w:tabs>
          <w:tab w:val="num" w:pos="0"/>
        </w:tabs>
        <w:ind w:left="720" w:hanging="360"/>
      </w:pPr>
      <w:rPr>
        <w:rFonts w:ascii="Noto Sans Symbols" w:hAnsi="Noto Sans Symbols" w:cs="Noto Sans Symbols" w:hint="default"/>
        <w:vertAlign w:val="baseline"/>
        <w:position w:val="0"/>
        <w:sz w:val="24"/>
      </w:rPr>
    </w:lvl>
    <w:lvl w:ilvl="1">
      <w:start w:val="1"/>
      <w:numFmt w:val="bullet"/>
      <w:lvlText w:val="o"/>
      <w:lvlJc w:val="left"/>
      <w:pPr>
        <w:tabs>
          <w:tab w:val="num" w:pos="0"/>
        </w:tabs>
        <w:ind w:left="1440" w:hanging="360"/>
      </w:pPr>
      <w:rPr>
        <w:rFonts w:ascii="Courier New" w:hAnsi="Courier New" w:cs="Courier New" w:hint="default"/>
        <w:vertAlign w:val="baseline"/>
        <w:position w:val="0"/>
        <w:sz w:val="24"/>
      </w:rPr>
    </w:lvl>
    <w:lvl w:ilvl="2">
      <w:start w:val="1"/>
      <w:numFmt w:val="bullet"/>
      <w:lvlText w:val="▪"/>
      <w:lvlJc w:val="left"/>
      <w:pPr>
        <w:tabs>
          <w:tab w:val="num" w:pos="0"/>
        </w:tabs>
        <w:ind w:left="2160" w:hanging="360"/>
      </w:pPr>
      <w:rPr>
        <w:rFonts w:ascii="Noto Sans Symbols" w:hAnsi="Noto Sans Symbols" w:cs="Noto Sans Symbols" w:hint="default"/>
        <w:vertAlign w:val="baseline"/>
        <w:position w:val="0"/>
        <w:sz w:val="24"/>
      </w:rPr>
    </w:lvl>
    <w:lvl w:ilvl="3">
      <w:start w:val="1"/>
      <w:numFmt w:val="bullet"/>
      <w:lvlText w:val="●"/>
      <w:lvlJc w:val="left"/>
      <w:pPr>
        <w:tabs>
          <w:tab w:val="num" w:pos="0"/>
        </w:tabs>
        <w:ind w:left="2880" w:hanging="360"/>
      </w:pPr>
      <w:rPr>
        <w:rFonts w:ascii="Noto Sans Symbols" w:hAnsi="Noto Sans Symbols" w:cs="Noto Sans Symbols" w:hint="default"/>
        <w:vertAlign w:val="baseline"/>
        <w:position w:val="0"/>
        <w:sz w:val="24"/>
      </w:rPr>
    </w:lvl>
    <w:lvl w:ilvl="4">
      <w:start w:val="1"/>
      <w:numFmt w:val="bullet"/>
      <w:lvlText w:val="o"/>
      <w:lvlJc w:val="left"/>
      <w:pPr>
        <w:tabs>
          <w:tab w:val="num" w:pos="0"/>
        </w:tabs>
        <w:ind w:left="3600" w:hanging="360"/>
      </w:pPr>
      <w:rPr>
        <w:rFonts w:ascii="Courier New" w:hAnsi="Courier New" w:cs="Courier New" w:hint="default"/>
        <w:vertAlign w:val="baseline"/>
        <w:position w:val="0"/>
        <w:sz w:val="24"/>
      </w:rPr>
    </w:lvl>
    <w:lvl w:ilvl="5">
      <w:start w:val="1"/>
      <w:numFmt w:val="bullet"/>
      <w:lvlText w:val="▪"/>
      <w:lvlJc w:val="left"/>
      <w:pPr>
        <w:tabs>
          <w:tab w:val="num" w:pos="0"/>
        </w:tabs>
        <w:ind w:left="4320" w:hanging="360"/>
      </w:pPr>
      <w:rPr>
        <w:rFonts w:ascii="Noto Sans Symbols" w:hAnsi="Noto Sans Symbols" w:cs="Noto Sans Symbols" w:hint="default"/>
        <w:vertAlign w:val="baseline"/>
        <w:position w:val="0"/>
        <w:sz w:val="24"/>
      </w:rPr>
    </w:lvl>
    <w:lvl w:ilvl="6">
      <w:start w:val="1"/>
      <w:numFmt w:val="bullet"/>
      <w:lvlText w:val="●"/>
      <w:lvlJc w:val="left"/>
      <w:pPr>
        <w:tabs>
          <w:tab w:val="num" w:pos="0"/>
        </w:tabs>
        <w:ind w:left="5040" w:hanging="360"/>
      </w:pPr>
      <w:rPr>
        <w:rFonts w:ascii="Noto Sans Symbols" w:hAnsi="Noto Sans Symbols" w:cs="Noto Sans Symbols" w:hint="default"/>
        <w:vertAlign w:val="baseline"/>
        <w:position w:val="0"/>
        <w:sz w:val="24"/>
      </w:rPr>
    </w:lvl>
    <w:lvl w:ilvl="7">
      <w:start w:val="1"/>
      <w:numFmt w:val="bullet"/>
      <w:lvlText w:val="o"/>
      <w:lvlJc w:val="left"/>
      <w:pPr>
        <w:tabs>
          <w:tab w:val="num" w:pos="0"/>
        </w:tabs>
        <w:ind w:left="5760" w:hanging="360"/>
      </w:pPr>
      <w:rPr>
        <w:rFonts w:ascii="Courier New" w:hAnsi="Courier New" w:cs="Courier New" w:hint="default"/>
        <w:vertAlign w:val="baseline"/>
        <w:position w:val="0"/>
        <w:sz w:val="24"/>
      </w:rPr>
    </w:lvl>
    <w:lvl w:ilvl="8">
      <w:start w:val="1"/>
      <w:numFmt w:val="bullet"/>
      <w:lvlText w:val="▪"/>
      <w:lvlJc w:val="left"/>
      <w:pPr>
        <w:tabs>
          <w:tab w:val="num" w:pos="0"/>
        </w:tabs>
        <w:ind w:left="6480" w:hanging="360"/>
      </w:pPr>
      <w:rPr>
        <w:rFonts w:ascii="Noto Sans Symbols" w:hAnsi="Noto Sans Symbols" w:cs="Noto Sans Symbols" w:hint="default"/>
        <w:vertAlign w:val="baseline"/>
        <w:position w:val="0"/>
        <w:sz w:val="24"/>
      </w:rPr>
    </w:lvl>
  </w:abstractNum>
  <w:abstractNum w:abstractNumId="25">
    <w:lvl w:ilvl="0">
      <w:numFmt w:val="bullet"/>
      <w:lvlText w:val="-"/>
      <w:lvlJc w:val="left"/>
      <w:pPr>
        <w:tabs>
          <w:tab w:val="num" w:pos="0"/>
        </w:tabs>
        <w:ind w:left="785" w:hanging="360"/>
      </w:pPr>
      <w:rPr>
        <w:rFonts w:ascii="Arial" w:hAnsi="Arial" w:cs="Arial" w:hint="default"/>
        <w:vertAlign w:val="baseline"/>
        <w:position w:val="0"/>
        <w:sz w:val="24"/>
        <w:b/>
        <w:color w:val="000000"/>
      </w:rPr>
    </w:lvl>
    <w:lvl w:ilvl="1">
      <w:start w:val="1"/>
      <w:numFmt w:val="bullet"/>
      <w:lvlText w:val="o"/>
      <w:lvlJc w:val="left"/>
      <w:pPr>
        <w:tabs>
          <w:tab w:val="num" w:pos="0"/>
        </w:tabs>
        <w:ind w:left="1505" w:hanging="360"/>
      </w:pPr>
      <w:rPr>
        <w:rFonts w:ascii="Courier New" w:hAnsi="Courier New" w:cs="Courier New" w:hint="default"/>
        <w:vertAlign w:val="baseline"/>
        <w:position w:val="0"/>
        <w:sz w:val="24"/>
      </w:rPr>
    </w:lvl>
    <w:lvl w:ilvl="2">
      <w:start w:val="1"/>
      <w:numFmt w:val="bullet"/>
      <w:lvlText w:val="▪"/>
      <w:lvlJc w:val="left"/>
      <w:pPr>
        <w:tabs>
          <w:tab w:val="num" w:pos="0"/>
        </w:tabs>
        <w:ind w:left="2225" w:hanging="360"/>
      </w:pPr>
      <w:rPr>
        <w:rFonts w:ascii="Noto Sans Symbols" w:hAnsi="Noto Sans Symbols" w:cs="Noto Sans Symbols" w:hint="default"/>
        <w:vertAlign w:val="baseline"/>
        <w:position w:val="0"/>
        <w:sz w:val="24"/>
      </w:rPr>
    </w:lvl>
    <w:lvl w:ilvl="3">
      <w:start w:val="1"/>
      <w:numFmt w:val="bullet"/>
      <w:lvlText w:val="●"/>
      <w:lvlJc w:val="left"/>
      <w:pPr>
        <w:tabs>
          <w:tab w:val="num" w:pos="0"/>
        </w:tabs>
        <w:ind w:left="2945" w:hanging="360"/>
      </w:pPr>
      <w:rPr>
        <w:rFonts w:ascii="Noto Sans Symbols" w:hAnsi="Noto Sans Symbols" w:cs="Noto Sans Symbols" w:hint="default"/>
        <w:vertAlign w:val="baseline"/>
        <w:position w:val="0"/>
        <w:sz w:val="24"/>
      </w:rPr>
    </w:lvl>
    <w:lvl w:ilvl="4">
      <w:start w:val="1"/>
      <w:numFmt w:val="bullet"/>
      <w:lvlText w:val="o"/>
      <w:lvlJc w:val="left"/>
      <w:pPr>
        <w:tabs>
          <w:tab w:val="num" w:pos="0"/>
        </w:tabs>
        <w:ind w:left="3665" w:hanging="360"/>
      </w:pPr>
      <w:rPr>
        <w:rFonts w:ascii="Courier New" w:hAnsi="Courier New" w:cs="Courier New" w:hint="default"/>
        <w:vertAlign w:val="baseline"/>
        <w:position w:val="0"/>
        <w:sz w:val="24"/>
      </w:rPr>
    </w:lvl>
    <w:lvl w:ilvl="5">
      <w:start w:val="1"/>
      <w:numFmt w:val="bullet"/>
      <w:lvlText w:val="▪"/>
      <w:lvlJc w:val="left"/>
      <w:pPr>
        <w:tabs>
          <w:tab w:val="num" w:pos="0"/>
        </w:tabs>
        <w:ind w:left="4385" w:hanging="360"/>
      </w:pPr>
      <w:rPr>
        <w:rFonts w:ascii="Noto Sans Symbols" w:hAnsi="Noto Sans Symbols" w:cs="Noto Sans Symbols" w:hint="default"/>
        <w:vertAlign w:val="baseline"/>
        <w:position w:val="0"/>
        <w:sz w:val="24"/>
      </w:rPr>
    </w:lvl>
    <w:lvl w:ilvl="6">
      <w:start w:val="1"/>
      <w:numFmt w:val="bullet"/>
      <w:lvlText w:val="●"/>
      <w:lvlJc w:val="left"/>
      <w:pPr>
        <w:tabs>
          <w:tab w:val="num" w:pos="0"/>
        </w:tabs>
        <w:ind w:left="5105" w:hanging="360"/>
      </w:pPr>
      <w:rPr>
        <w:rFonts w:ascii="Noto Sans Symbols" w:hAnsi="Noto Sans Symbols" w:cs="Noto Sans Symbols" w:hint="default"/>
        <w:vertAlign w:val="baseline"/>
        <w:position w:val="0"/>
        <w:sz w:val="24"/>
      </w:rPr>
    </w:lvl>
    <w:lvl w:ilvl="7">
      <w:start w:val="1"/>
      <w:numFmt w:val="bullet"/>
      <w:lvlText w:val="o"/>
      <w:lvlJc w:val="left"/>
      <w:pPr>
        <w:tabs>
          <w:tab w:val="num" w:pos="0"/>
        </w:tabs>
        <w:ind w:left="5825" w:hanging="360"/>
      </w:pPr>
      <w:rPr>
        <w:rFonts w:ascii="Courier New" w:hAnsi="Courier New" w:cs="Courier New" w:hint="default"/>
        <w:vertAlign w:val="baseline"/>
        <w:position w:val="0"/>
        <w:sz w:val="24"/>
      </w:rPr>
    </w:lvl>
    <w:lvl w:ilvl="8">
      <w:start w:val="1"/>
      <w:numFmt w:val="bullet"/>
      <w:lvlText w:val="▪"/>
      <w:lvlJc w:val="left"/>
      <w:pPr>
        <w:tabs>
          <w:tab w:val="num" w:pos="0"/>
        </w:tabs>
        <w:ind w:left="6545" w:hanging="360"/>
      </w:pPr>
      <w:rPr>
        <w:rFonts w:ascii="Noto Sans Symbols" w:hAnsi="Noto Sans Symbols" w:cs="Noto Sans Symbols" w:hint="default"/>
        <w:vertAlign w:val="baseline"/>
        <w:position w:val="0"/>
        <w:sz w:val="24"/>
      </w:rPr>
    </w:lvl>
  </w:abstractNum>
  <w:abstractNum w:abstractNumId="26">
    <w:lvl w:ilvl="0">
      <w:start w:val="1"/>
      <w:numFmt w:val="bullet"/>
      <w:lvlText w:val=""/>
      <w:lvlJc w:val="left"/>
      <w:pPr>
        <w:tabs>
          <w:tab w:val="num" w:pos="0"/>
        </w:tabs>
        <w:ind w:left="720" w:hanging="360"/>
      </w:pPr>
      <w:rPr>
        <w:rFonts w:ascii="Wingdings" w:hAnsi="Wingdings" w:cs="Wingdings" w:hint="default"/>
        <w:u w:val="none"/>
      </w:rPr>
    </w:lvl>
    <w:lvl w:ilvl="1">
      <w:start w:val="1"/>
      <w:numFmt w:val="bullet"/>
      <w:lvlText w:val=""/>
      <w:lvlJc w:val="left"/>
      <w:pPr>
        <w:tabs>
          <w:tab w:val="num" w:pos="0"/>
        </w:tabs>
        <w:ind w:left="1440" w:hanging="360"/>
      </w:pPr>
      <w:rPr>
        <w:rFonts w:ascii="Wingdings 2" w:hAnsi="Wingdings 2" w:cs="Wingdings 2"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Wingdings" w:hAnsi="Wingdings" w:cs="Wingdings" w:hint="default"/>
        <w:u w:val="none"/>
      </w:rPr>
    </w:lvl>
    <w:lvl w:ilvl="4">
      <w:start w:val="1"/>
      <w:numFmt w:val="bullet"/>
      <w:lvlText w:val=""/>
      <w:lvlJc w:val="left"/>
      <w:pPr>
        <w:tabs>
          <w:tab w:val="num" w:pos="0"/>
        </w:tabs>
        <w:ind w:left="3600" w:hanging="360"/>
      </w:pPr>
      <w:rPr>
        <w:rFonts w:ascii="Wingdings 2" w:hAnsi="Wingdings 2" w:cs="Wingdings 2" w:hint="default"/>
        <w:u w:val="none"/>
      </w:rPr>
    </w:lvl>
    <w:lvl w:ilvl="5">
      <w:start w:val="1"/>
      <w:numFmt w:val="bullet"/>
      <w:lvlText w:val="■"/>
      <w:lvlJc w:val="left"/>
      <w:pPr>
        <w:tabs>
          <w:tab w:val="num" w:pos="0"/>
        </w:tabs>
        <w:ind w:left="4320" w:hanging="360"/>
      </w:pPr>
      <w:rPr>
        <w:rFonts w:ascii="OpenSymbol" w:hAnsi="OpenSymbol" w:cs="OpenSymbol" w:hint="default"/>
        <w:u w:val="none"/>
      </w:rPr>
    </w:lvl>
    <w:lvl w:ilvl="6">
      <w:start w:val="1"/>
      <w:numFmt w:val="bullet"/>
      <w:lvlText w:val=""/>
      <w:lvlJc w:val="left"/>
      <w:pPr>
        <w:tabs>
          <w:tab w:val="num" w:pos="0"/>
        </w:tabs>
        <w:ind w:left="5040" w:hanging="360"/>
      </w:pPr>
      <w:rPr>
        <w:rFonts w:ascii="Wingdings" w:hAnsi="Wingdings" w:cs="Wingdings" w:hint="default"/>
        <w:u w:val="none"/>
      </w:rPr>
    </w:lvl>
    <w:lvl w:ilvl="7">
      <w:start w:val="1"/>
      <w:numFmt w:val="bullet"/>
      <w:lvlText w:val=""/>
      <w:lvlJc w:val="left"/>
      <w:pPr>
        <w:tabs>
          <w:tab w:val="num" w:pos="0"/>
        </w:tabs>
        <w:ind w:left="5760" w:hanging="360"/>
      </w:pPr>
      <w:rPr>
        <w:rFonts w:ascii="Wingdings 2" w:hAnsi="Wingdings 2" w:cs="Wingdings 2"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abstractNum w:abstractNumId="27">
    <w:lvl w:ilvl="0">
      <w:start w:val="1"/>
      <w:numFmt w:val="bullet"/>
      <w:lvlText w:val=""/>
      <w:lvlJc w:val="left"/>
      <w:pPr>
        <w:tabs>
          <w:tab w:val="num" w:pos="0"/>
        </w:tabs>
        <w:ind w:left="720" w:hanging="360"/>
      </w:pPr>
      <w:rPr>
        <w:rFonts w:ascii="Wingdings" w:hAnsi="Wingdings" w:cs="Wingdings" w:hint="default"/>
        <w:u w:val="none"/>
      </w:rPr>
    </w:lvl>
    <w:lvl w:ilvl="1">
      <w:start w:val="1"/>
      <w:numFmt w:val="bullet"/>
      <w:lvlText w:val=""/>
      <w:lvlJc w:val="left"/>
      <w:pPr>
        <w:tabs>
          <w:tab w:val="num" w:pos="0"/>
        </w:tabs>
        <w:ind w:left="1440" w:hanging="360"/>
      </w:pPr>
      <w:rPr>
        <w:rFonts w:ascii="Wingdings 2" w:hAnsi="Wingdings 2" w:cs="Wingdings 2"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Wingdings" w:hAnsi="Wingdings" w:cs="Wingdings" w:hint="default"/>
        <w:u w:val="none"/>
      </w:rPr>
    </w:lvl>
    <w:lvl w:ilvl="4">
      <w:start w:val="1"/>
      <w:numFmt w:val="bullet"/>
      <w:lvlText w:val=""/>
      <w:lvlJc w:val="left"/>
      <w:pPr>
        <w:tabs>
          <w:tab w:val="num" w:pos="0"/>
        </w:tabs>
        <w:ind w:left="3600" w:hanging="360"/>
      </w:pPr>
      <w:rPr>
        <w:rFonts w:ascii="Wingdings 2" w:hAnsi="Wingdings 2" w:cs="Wingdings 2" w:hint="default"/>
        <w:u w:val="none"/>
      </w:rPr>
    </w:lvl>
    <w:lvl w:ilvl="5">
      <w:start w:val="1"/>
      <w:numFmt w:val="bullet"/>
      <w:lvlText w:val="■"/>
      <w:lvlJc w:val="left"/>
      <w:pPr>
        <w:tabs>
          <w:tab w:val="num" w:pos="0"/>
        </w:tabs>
        <w:ind w:left="4320" w:hanging="360"/>
      </w:pPr>
      <w:rPr>
        <w:rFonts w:ascii="OpenSymbol" w:hAnsi="OpenSymbol" w:cs="OpenSymbol" w:hint="default"/>
        <w:u w:val="none"/>
      </w:rPr>
    </w:lvl>
    <w:lvl w:ilvl="6">
      <w:start w:val="1"/>
      <w:numFmt w:val="bullet"/>
      <w:lvlText w:val=""/>
      <w:lvlJc w:val="left"/>
      <w:pPr>
        <w:tabs>
          <w:tab w:val="num" w:pos="0"/>
        </w:tabs>
        <w:ind w:left="5040" w:hanging="360"/>
      </w:pPr>
      <w:rPr>
        <w:rFonts w:ascii="Wingdings" w:hAnsi="Wingdings" w:cs="Wingdings" w:hint="default"/>
        <w:u w:val="none"/>
      </w:rPr>
    </w:lvl>
    <w:lvl w:ilvl="7">
      <w:start w:val="1"/>
      <w:numFmt w:val="bullet"/>
      <w:lvlText w:val=""/>
      <w:lvlJc w:val="left"/>
      <w:pPr>
        <w:tabs>
          <w:tab w:val="num" w:pos="0"/>
        </w:tabs>
        <w:ind w:left="5760" w:hanging="360"/>
      </w:pPr>
      <w:rPr>
        <w:rFonts w:ascii="Wingdings 2" w:hAnsi="Wingdings 2" w:cs="Wingdings 2"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abstractNum w:abstractNumId="28">
    <w:lvl w:ilvl="0">
      <w:start w:val="1"/>
      <w:numFmt w:val="bullet"/>
      <w:lvlText w:val=""/>
      <w:lvlJc w:val="left"/>
      <w:pPr>
        <w:tabs>
          <w:tab w:val="num" w:pos="0"/>
        </w:tabs>
        <w:ind w:left="720" w:hanging="360"/>
      </w:pPr>
      <w:rPr>
        <w:rFonts w:ascii="Wingdings" w:hAnsi="Wingdings" w:cs="Wingdings" w:hint="default"/>
        <w:u w:val="none"/>
      </w:rPr>
    </w:lvl>
    <w:lvl w:ilvl="1">
      <w:start w:val="1"/>
      <w:numFmt w:val="bullet"/>
      <w:lvlText w:val=""/>
      <w:lvlJc w:val="left"/>
      <w:pPr>
        <w:tabs>
          <w:tab w:val="num" w:pos="0"/>
        </w:tabs>
        <w:ind w:left="1440" w:hanging="360"/>
      </w:pPr>
      <w:rPr>
        <w:rFonts w:ascii="Wingdings 2" w:hAnsi="Wingdings 2" w:cs="Wingdings 2"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Wingdings" w:hAnsi="Wingdings" w:cs="Wingdings" w:hint="default"/>
        <w:u w:val="none"/>
      </w:rPr>
    </w:lvl>
    <w:lvl w:ilvl="4">
      <w:start w:val="1"/>
      <w:numFmt w:val="bullet"/>
      <w:lvlText w:val=""/>
      <w:lvlJc w:val="left"/>
      <w:pPr>
        <w:tabs>
          <w:tab w:val="num" w:pos="0"/>
        </w:tabs>
        <w:ind w:left="3600" w:hanging="360"/>
      </w:pPr>
      <w:rPr>
        <w:rFonts w:ascii="Wingdings 2" w:hAnsi="Wingdings 2" w:cs="Wingdings 2" w:hint="default"/>
        <w:u w:val="none"/>
      </w:rPr>
    </w:lvl>
    <w:lvl w:ilvl="5">
      <w:start w:val="1"/>
      <w:numFmt w:val="bullet"/>
      <w:lvlText w:val="■"/>
      <w:lvlJc w:val="left"/>
      <w:pPr>
        <w:tabs>
          <w:tab w:val="num" w:pos="0"/>
        </w:tabs>
        <w:ind w:left="4320" w:hanging="360"/>
      </w:pPr>
      <w:rPr>
        <w:rFonts w:ascii="OpenSymbol" w:hAnsi="OpenSymbol" w:cs="OpenSymbol" w:hint="default"/>
        <w:u w:val="none"/>
      </w:rPr>
    </w:lvl>
    <w:lvl w:ilvl="6">
      <w:start w:val="1"/>
      <w:numFmt w:val="bullet"/>
      <w:lvlText w:val=""/>
      <w:lvlJc w:val="left"/>
      <w:pPr>
        <w:tabs>
          <w:tab w:val="num" w:pos="0"/>
        </w:tabs>
        <w:ind w:left="5040" w:hanging="360"/>
      </w:pPr>
      <w:rPr>
        <w:rFonts w:ascii="Wingdings" w:hAnsi="Wingdings" w:cs="Wingdings" w:hint="default"/>
        <w:u w:val="none"/>
      </w:rPr>
    </w:lvl>
    <w:lvl w:ilvl="7">
      <w:start w:val="1"/>
      <w:numFmt w:val="bullet"/>
      <w:lvlText w:val=""/>
      <w:lvlJc w:val="left"/>
      <w:pPr>
        <w:tabs>
          <w:tab w:val="num" w:pos="0"/>
        </w:tabs>
        <w:ind w:left="5760" w:hanging="360"/>
      </w:pPr>
      <w:rPr>
        <w:rFonts w:ascii="Wingdings 2" w:hAnsi="Wingdings 2" w:cs="Wingdings 2"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abstractNum w:abstractNumId="29">
    <w:lvl w:ilvl="0">
      <w:start w:val="1"/>
      <w:numFmt w:val="bullet"/>
      <w:lvlText w:val=""/>
      <w:lvlJc w:val="left"/>
      <w:pPr>
        <w:tabs>
          <w:tab w:val="num" w:pos="0"/>
        </w:tabs>
        <w:ind w:left="720" w:hanging="360"/>
      </w:pPr>
      <w:rPr>
        <w:rFonts w:ascii="Wingdings" w:hAnsi="Wingdings" w:cs="Wingdings" w:hint="default"/>
        <w:u w:val="none"/>
      </w:rPr>
    </w:lvl>
    <w:lvl w:ilvl="1">
      <w:start w:val="1"/>
      <w:numFmt w:val="bullet"/>
      <w:lvlText w:val=""/>
      <w:lvlJc w:val="left"/>
      <w:pPr>
        <w:tabs>
          <w:tab w:val="num" w:pos="0"/>
        </w:tabs>
        <w:ind w:left="1440" w:hanging="360"/>
      </w:pPr>
      <w:rPr>
        <w:rFonts w:ascii="Wingdings 2" w:hAnsi="Wingdings 2" w:cs="Wingdings 2"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Wingdings" w:hAnsi="Wingdings" w:cs="Wingdings" w:hint="default"/>
        <w:u w:val="none"/>
      </w:rPr>
    </w:lvl>
    <w:lvl w:ilvl="4">
      <w:start w:val="1"/>
      <w:numFmt w:val="bullet"/>
      <w:lvlText w:val=""/>
      <w:lvlJc w:val="left"/>
      <w:pPr>
        <w:tabs>
          <w:tab w:val="num" w:pos="0"/>
        </w:tabs>
        <w:ind w:left="3600" w:hanging="360"/>
      </w:pPr>
      <w:rPr>
        <w:rFonts w:ascii="Wingdings 2" w:hAnsi="Wingdings 2" w:cs="Wingdings 2" w:hint="default"/>
        <w:u w:val="none"/>
      </w:rPr>
    </w:lvl>
    <w:lvl w:ilvl="5">
      <w:start w:val="1"/>
      <w:numFmt w:val="bullet"/>
      <w:lvlText w:val="■"/>
      <w:lvlJc w:val="left"/>
      <w:pPr>
        <w:tabs>
          <w:tab w:val="num" w:pos="0"/>
        </w:tabs>
        <w:ind w:left="4320" w:hanging="360"/>
      </w:pPr>
      <w:rPr>
        <w:rFonts w:ascii="OpenSymbol" w:hAnsi="OpenSymbol" w:cs="OpenSymbol" w:hint="default"/>
        <w:u w:val="none"/>
      </w:rPr>
    </w:lvl>
    <w:lvl w:ilvl="6">
      <w:start w:val="1"/>
      <w:numFmt w:val="bullet"/>
      <w:lvlText w:val=""/>
      <w:lvlJc w:val="left"/>
      <w:pPr>
        <w:tabs>
          <w:tab w:val="num" w:pos="0"/>
        </w:tabs>
        <w:ind w:left="5040" w:hanging="360"/>
      </w:pPr>
      <w:rPr>
        <w:rFonts w:ascii="Wingdings" w:hAnsi="Wingdings" w:cs="Wingdings" w:hint="default"/>
        <w:u w:val="none"/>
      </w:rPr>
    </w:lvl>
    <w:lvl w:ilvl="7">
      <w:start w:val="1"/>
      <w:numFmt w:val="bullet"/>
      <w:lvlText w:val=""/>
      <w:lvlJc w:val="left"/>
      <w:pPr>
        <w:tabs>
          <w:tab w:val="num" w:pos="0"/>
        </w:tabs>
        <w:ind w:left="5760" w:hanging="360"/>
      </w:pPr>
      <w:rPr>
        <w:rFonts w:ascii="Wingdings 2" w:hAnsi="Wingdings 2" w:cs="Wingdings 2"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abstractNum w:abstractNumId="30">
    <w:lvl w:ilvl="0">
      <w:start w:val="1"/>
      <w:numFmt w:val="bullet"/>
      <w:lvlText w:val=""/>
      <w:lvlJc w:val="left"/>
      <w:pPr>
        <w:tabs>
          <w:tab w:val="num" w:pos="0"/>
        </w:tabs>
        <w:ind w:left="720" w:hanging="360"/>
      </w:pPr>
      <w:rPr>
        <w:rFonts w:ascii="Wingdings" w:hAnsi="Wingdings" w:cs="Wingdings" w:hint="default"/>
        <w:u w:val="none"/>
      </w:rPr>
    </w:lvl>
    <w:lvl w:ilvl="1">
      <w:start w:val="1"/>
      <w:numFmt w:val="bullet"/>
      <w:lvlText w:val=""/>
      <w:lvlJc w:val="left"/>
      <w:pPr>
        <w:tabs>
          <w:tab w:val="num" w:pos="0"/>
        </w:tabs>
        <w:ind w:left="1440" w:hanging="360"/>
      </w:pPr>
      <w:rPr>
        <w:rFonts w:ascii="Wingdings 2" w:hAnsi="Wingdings 2" w:cs="Wingdings 2"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Wingdings" w:hAnsi="Wingdings" w:cs="Wingdings" w:hint="default"/>
        <w:u w:val="none"/>
      </w:rPr>
    </w:lvl>
    <w:lvl w:ilvl="4">
      <w:start w:val="1"/>
      <w:numFmt w:val="bullet"/>
      <w:lvlText w:val=""/>
      <w:lvlJc w:val="left"/>
      <w:pPr>
        <w:tabs>
          <w:tab w:val="num" w:pos="0"/>
        </w:tabs>
        <w:ind w:left="3600" w:hanging="360"/>
      </w:pPr>
      <w:rPr>
        <w:rFonts w:ascii="Wingdings 2" w:hAnsi="Wingdings 2" w:cs="Wingdings 2" w:hint="default"/>
        <w:u w:val="none"/>
      </w:rPr>
    </w:lvl>
    <w:lvl w:ilvl="5">
      <w:start w:val="1"/>
      <w:numFmt w:val="bullet"/>
      <w:lvlText w:val="■"/>
      <w:lvlJc w:val="left"/>
      <w:pPr>
        <w:tabs>
          <w:tab w:val="num" w:pos="0"/>
        </w:tabs>
        <w:ind w:left="4320" w:hanging="360"/>
      </w:pPr>
      <w:rPr>
        <w:rFonts w:ascii="OpenSymbol" w:hAnsi="OpenSymbol" w:cs="OpenSymbol" w:hint="default"/>
        <w:u w:val="none"/>
      </w:rPr>
    </w:lvl>
    <w:lvl w:ilvl="6">
      <w:start w:val="1"/>
      <w:numFmt w:val="bullet"/>
      <w:lvlText w:val=""/>
      <w:lvlJc w:val="left"/>
      <w:pPr>
        <w:tabs>
          <w:tab w:val="num" w:pos="0"/>
        </w:tabs>
        <w:ind w:left="5040" w:hanging="360"/>
      </w:pPr>
      <w:rPr>
        <w:rFonts w:ascii="Wingdings" w:hAnsi="Wingdings" w:cs="Wingdings" w:hint="default"/>
        <w:u w:val="none"/>
      </w:rPr>
    </w:lvl>
    <w:lvl w:ilvl="7">
      <w:start w:val="1"/>
      <w:numFmt w:val="bullet"/>
      <w:lvlText w:val=""/>
      <w:lvlJc w:val="left"/>
      <w:pPr>
        <w:tabs>
          <w:tab w:val="num" w:pos="0"/>
        </w:tabs>
        <w:ind w:left="5760" w:hanging="360"/>
      </w:pPr>
      <w:rPr>
        <w:rFonts w:ascii="Wingdings 2" w:hAnsi="Wingdings 2" w:cs="Wingdings 2"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abstractNum w:abstractNumId="31">
    <w:lvl w:ilvl="0">
      <w:start w:val="1"/>
      <w:numFmt w:val="bullet"/>
      <w:lvlText w:val=""/>
      <w:lvlJc w:val="left"/>
      <w:pPr>
        <w:tabs>
          <w:tab w:val="num" w:pos="0"/>
        </w:tabs>
        <w:ind w:left="720" w:hanging="360"/>
      </w:pPr>
      <w:rPr>
        <w:rFonts w:ascii="Wingdings" w:hAnsi="Wingdings" w:cs="Wingdings" w:hint="default"/>
        <w:u w:val="none"/>
      </w:rPr>
    </w:lvl>
    <w:lvl w:ilvl="1">
      <w:start w:val="1"/>
      <w:numFmt w:val="bullet"/>
      <w:lvlText w:val=""/>
      <w:lvlJc w:val="left"/>
      <w:pPr>
        <w:tabs>
          <w:tab w:val="num" w:pos="0"/>
        </w:tabs>
        <w:ind w:left="1440" w:hanging="360"/>
      </w:pPr>
      <w:rPr>
        <w:rFonts w:ascii="Wingdings 2" w:hAnsi="Wingdings 2" w:cs="Wingdings 2"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Wingdings" w:hAnsi="Wingdings" w:cs="Wingdings" w:hint="default"/>
        <w:u w:val="none"/>
      </w:rPr>
    </w:lvl>
    <w:lvl w:ilvl="4">
      <w:start w:val="1"/>
      <w:numFmt w:val="bullet"/>
      <w:lvlText w:val=""/>
      <w:lvlJc w:val="left"/>
      <w:pPr>
        <w:tabs>
          <w:tab w:val="num" w:pos="0"/>
        </w:tabs>
        <w:ind w:left="3600" w:hanging="360"/>
      </w:pPr>
      <w:rPr>
        <w:rFonts w:ascii="Wingdings 2" w:hAnsi="Wingdings 2" w:cs="Wingdings 2" w:hint="default"/>
        <w:u w:val="none"/>
      </w:rPr>
    </w:lvl>
    <w:lvl w:ilvl="5">
      <w:start w:val="1"/>
      <w:numFmt w:val="bullet"/>
      <w:lvlText w:val="■"/>
      <w:lvlJc w:val="left"/>
      <w:pPr>
        <w:tabs>
          <w:tab w:val="num" w:pos="0"/>
        </w:tabs>
        <w:ind w:left="4320" w:hanging="360"/>
      </w:pPr>
      <w:rPr>
        <w:rFonts w:ascii="OpenSymbol" w:hAnsi="OpenSymbol" w:cs="OpenSymbol" w:hint="default"/>
        <w:u w:val="none"/>
      </w:rPr>
    </w:lvl>
    <w:lvl w:ilvl="6">
      <w:start w:val="1"/>
      <w:numFmt w:val="bullet"/>
      <w:lvlText w:val=""/>
      <w:lvlJc w:val="left"/>
      <w:pPr>
        <w:tabs>
          <w:tab w:val="num" w:pos="0"/>
        </w:tabs>
        <w:ind w:left="5040" w:hanging="360"/>
      </w:pPr>
      <w:rPr>
        <w:rFonts w:ascii="Wingdings" w:hAnsi="Wingdings" w:cs="Wingdings" w:hint="default"/>
        <w:u w:val="none"/>
      </w:rPr>
    </w:lvl>
    <w:lvl w:ilvl="7">
      <w:start w:val="1"/>
      <w:numFmt w:val="bullet"/>
      <w:lvlText w:val=""/>
      <w:lvlJc w:val="left"/>
      <w:pPr>
        <w:tabs>
          <w:tab w:val="num" w:pos="0"/>
        </w:tabs>
        <w:ind w:left="5760" w:hanging="360"/>
      </w:pPr>
      <w:rPr>
        <w:rFonts w:ascii="Wingdings 2" w:hAnsi="Wingdings 2" w:cs="Wingdings 2"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abstractNum w:abstractNumId="32">
    <w:lvl w:ilvl="0">
      <w:start w:val="1"/>
      <w:numFmt w:val="bullet"/>
      <w:lvlText w:val=""/>
      <w:lvlJc w:val="left"/>
      <w:pPr>
        <w:tabs>
          <w:tab w:val="num" w:pos="0"/>
        </w:tabs>
        <w:ind w:left="720" w:hanging="360"/>
      </w:pPr>
      <w:rPr>
        <w:rFonts w:ascii="Wingdings" w:hAnsi="Wingdings" w:cs="Wingdings" w:hint="default"/>
        <w:u w:val="none"/>
      </w:rPr>
    </w:lvl>
    <w:lvl w:ilvl="1">
      <w:start w:val="1"/>
      <w:numFmt w:val="bullet"/>
      <w:lvlText w:val=""/>
      <w:lvlJc w:val="left"/>
      <w:pPr>
        <w:tabs>
          <w:tab w:val="num" w:pos="0"/>
        </w:tabs>
        <w:ind w:left="1440" w:hanging="360"/>
      </w:pPr>
      <w:rPr>
        <w:rFonts w:ascii="Wingdings 2" w:hAnsi="Wingdings 2" w:cs="Wingdings 2"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Wingdings" w:hAnsi="Wingdings" w:cs="Wingdings" w:hint="default"/>
        <w:u w:val="none"/>
      </w:rPr>
    </w:lvl>
    <w:lvl w:ilvl="4">
      <w:start w:val="1"/>
      <w:numFmt w:val="bullet"/>
      <w:lvlText w:val=""/>
      <w:lvlJc w:val="left"/>
      <w:pPr>
        <w:tabs>
          <w:tab w:val="num" w:pos="0"/>
        </w:tabs>
        <w:ind w:left="3600" w:hanging="360"/>
      </w:pPr>
      <w:rPr>
        <w:rFonts w:ascii="Wingdings 2" w:hAnsi="Wingdings 2" w:cs="Wingdings 2" w:hint="default"/>
        <w:u w:val="none"/>
      </w:rPr>
    </w:lvl>
    <w:lvl w:ilvl="5">
      <w:start w:val="1"/>
      <w:numFmt w:val="bullet"/>
      <w:lvlText w:val="■"/>
      <w:lvlJc w:val="left"/>
      <w:pPr>
        <w:tabs>
          <w:tab w:val="num" w:pos="0"/>
        </w:tabs>
        <w:ind w:left="4320" w:hanging="360"/>
      </w:pPr>
      <w:rPr>
        <w:rFonts w:ascii="OpenSymbol" w:hAnsi="OpenSymbol" w:cs="OpenSymbol" w:hint="default"/>
        <w:u w:val="none"/>
      </w:rPr>
    </w:lvl>
    <w:lvl w:ilvl="6">
      <w:start w:val="1"/>
      <w:numFmt w:val="bullet"/>
      <w:lvlText w:val=""/>
      <w:lvlJc w:val="left"/>
      <w:pPr>
        <w:tabs>
          <w:tab w:val="num" w:pos="0"/>
        </w:tabs>
        <w:ind w:left="5040" w:hanging="360"/>
      </w:pPr>
      <w:rPr>
        <w:rFonts w:ascii="Wingdings" w:hAnsi="Wingdings" w:cs="Wingdings" w:hint="default"/>
        <w:u w:val="none"/>
      </w:rPr>
    </w:lvl>
    <w:lvl w:ilvl="7">
      <w:start w:val="1"/>
      <w:numFmt w:val="bullet"/>
      <w:lvlText w:val=""/>
      <w:lvlJc w:val="left"/>
      <w:pPr>
        <w:tabs>
          <w:tab w:val="num" w:pos="0"/>
        </w:tabs>
        <w:ind w:left="5760" w:hanging="360"/>
      </w:pPr>
      <w:rPr>
        <w:rFonts w:ascii="Wingdings 2" w:hAnsi="Wingdings 2" w:cs="Wingdings 2"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abstractNum w:abstractNumId="33">
    <w:lvl w:ilvl="0">
      <w:start w:val="1"/>
      <w:numFmt w:val="bullet"/>
      <w:lvlText w:val=""/>
      <w:lvlJc w:val="left"/>
      <w:pPr>
        <w:tabs>
          <w:tab w:val="num" w:pos="0"/>
        </w:tabs>
        <w:ind w:left="720" w:hanging="360"/>
      </w:pPr>
      <w:rPr>
        <w:rFonts w:ascii="Wingdings" w:hAnsi="Wingdings" w:cs="Wingdings" w:hint="default"/>
        <w:u w:val="none"/>
      </w:rPr>
    </w:lvl>
    <w:lvl w:ilvl="1">
      <w:start w:val="1"/>
      <w:numFmt w:val="bullet"/>
      <w:lvlText w:val=""/>
      <w:lvlJc w:val="left"/>
      <w:pPr>
        <w:tabs>
          <w:tab w:val="num" w:pos="0"/>
        </w:tabs>
        <w:ind w:left="1440" w:hanging="360"/>
      </w:pPr>
      <w:rPr>
        <w:rFonts w:ascii="Wingdings 2" w:hAnsi="Wingdings 2" w:cs="Wingdings 2"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Wingdings" w:hAnsi="Wingdings" w:cs="Wingdings" w:hint="default"/>
        <w:u w:val="none"/>
      </w:rPr>
    </w:lvl>
    <w:lvl w:ilvl="4">
      <w:start w:val="1"/>
      <w:numFmt w:val="bullet"/>
      <w:lvlText w:val=""/>
      <w:lvlJc w:val="left"/>
      <w:pPr>
        <w:tabs>
          <w:tab w:val="num" w:pos="0"/>
        </w:tabs>
        <w:ind w:left="3600" w:hanging="360"/>
      </w:pPr>
      <w:rPr>
        <w:rFonts w:ascii="Wingdings 2" w:hAnsi="Wingdings 2" w:cs="Wingdings 2" w:hint="default"/>
        <w:u w:val="none"/>
      </w:rPr>
    </w:lvl>
    <w:lvl w:ilvl="5">
      <w:start w:val="1"/>
      <w:numFmt w:val="bullet"/>
      <w:lvlText w:val="■"/>
      <w:lvlJc w:val="left"/>
      <w:pPr>
        <w:tabs>
          <w:tab w:val="num" w:pos="0"/>
        </w:tabs>
        <w:ind w:left="4320" w:hanging="360"/>
      </w:pPr>
      <w:rPr>
        <w:rFonts w:ascii="OpenSymbol" w:hAnsi="OpenSymbol" w:cs="OpenSymbol" w:hint="default"/>
        <w:u w:val="none"/>
      </w:rPr>
    </w:lvl>
    <w:lvl w:ilvl="6">
      <w:start w:val="1"/>
      <w:numFmt w:val="bullet"/>
      <w:lvlText w:val=""/>
      <w:lvlJc w:val="left"/>
      <w:pPr>
        <w:tabs>
          <w:tab w:val="num" w:pos="0"/>
        </w:tabs>
        <w:ind w:left="5040" w:hanging="360"/>
      </w:pPr>
      <w:rPr>
        <w:rFonts w:ascii="Wingdings" w:hAnsi="Wingdings" w:cs="Wingdings" w:hint="default"/>
        <w:u w:val="none"/>
      </w:rPr>
    </w:lvl>
    <w:lvl w:ilvl="7">
      <w:start w:val="1"/>
      <w:numFmt w:val="bullet"/>
      <w:lvlText w:val=""/>
      <w:lvlJc w:val="left"/>
      <w:pPr>
        <w:tabs>
          <w:tab w:val="num" w:pos="0"/>
        </w:tabs>
        <w:ind w:left="5760" w:hanging="360"/>
      </w:pPr>
      <w:rPr>
        <w:rFonts w:ascii="Wingdings 2" w:hAnsi="Wingdings 2" w:cs="Wingdings 2"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abstractNum w:abstractNumId="34">
    <w:lvl w:ilvl="0">
      <w:start w:val="1"/>
      <w:numFmt w:val="bullet"/>
      <w:lvlText w:val=""/>
      <w:lvlJc w:val="left"/>
      <w:pPr>
        <w:tabs>
          <w:tab w:val="num" w:pos="0"/>
        </w:tabs>
        <w:ind w:left="720" w:hanging="360"/>
      </w:pPr>
      <w:rPr>
        <w:rFonts w:ascii="Wingdings" w:hAnsi="Wingdings" w:cs="Wingdings" w:hint="default"/>
        <w:u w:val="none"/>
      </w:rPr>
    </w:lvl>
    <w:lvl w:ilvl="1">
      <w:start w:val="1"/>
      <w:numFmt w:val="bullet"/>
      <w:lvlText w:val=""/>
      <w:lvlJc w:val="left"/>
      <w:pPr>
        <w:tabs>
          <w:tab w:val="num" w:pos="0"/>
        </w:tabs>
        <w:ind w:left="1440" w:hanging="360"/>
      </w:pPr>
      <w:rPr>
        <w:rFonts w:ascii="Wingdings 2" w:hAnsi="Wingdings 2" w:cs="Wingdings 2"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Wingdings" w:hAnsi="Wingdings" w:cs="Wingdings" w:hint="default"/>
        <w:u w:val="none"/>
      </w:rPr>
    </w:lvl>
    <w:lvl w:ilvl="4">
      <w:start w:val="1"/>
      <w:numFmt w:val="bullet"/>
      <w:lvlText w:val=""/>
      <w:lvlJc w:val="left"/>
      <w:pPr>
        <w:tabs>
          <w:tab w:val="num" w:pos="0"/>
        </w:tabs>
        <w:ind w:left="3600" w:hanging="360"/>
      </w:pPr>
      <w:rPr>
        <w:rFonts w:ascii="Wingdings 2" w:hAnsi="Wingdings 2" w:cs="Wingdings 2" w:hint="default"/>
        <w:u w:val="none"/>
      </w:rPr>
    </w:lvl>
    <w:lvl w:ilvl="5">
      <w:start w:val="1"/>
      <w:numFmt w:val="bullet"/>
      <w:lvlText w:val="■"/>
      <w:lvlJc w:val="left"/>
      <w:pPr>
        <w:tabs>
          <w:tab w:val="num" w:pos="0"/>
        </w:tabs>
        <w:ind w:left="4320" w:hanging="360"/>
      </w:pPr>
      <w:rPr>
        <w:rFonts w:ascii="OpenSymbol" w:hAnsi="OpenSymbol" w:cs="OpenSymbol" w:hint="default"/>
        <w:u w:val="none"/>
      </w:rPr>
    </w:lvl>
    <w:lvl w:ilvl="6">
      <w:start w:val="1"/>
      <w:numFmt w:val="bullet"/>
      <w:lvlText w:val=""/>
      <w:lvlJc w:val="left"/>
      <w:pPr>
        <w:tabs>
          <w:tab w:val="num" w:pos="0"/>
        </w:tabs>
        <w:ind w:left="5040" w:hanging="360"/>
      </w:pPr>
      <w:rPr>
        <w:rFonts w:ascii="Wingdings" w:hAnsi="Wingdings" w:cs="Wingdings" w:hint="default"/>
        <w:u w:val="none"/>
      </w:rPr>
    </w:lvl>
    <w:lvl w:ilvl="7">
      <w:start w:val="1"/>
      <w:numFmt w:val="bullet"/>
      <w:lvlText w:val=""/>
      <w:lvlJc w:val="left"/>
      <w:pPr>
        <w:tabs>
          <w:tab w:val="num" w:pos="0"/>
        </w:tabs>
        <w:ind w:left="5760" w:hanging="360"/>
      </w:pPr>
      <w:rPr>
        <w:rFonts w:ascii="Wingdings 2" w:hAnsi="Wingdings 2" w:cs="Wingdings 2"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abstractNum w:abstractNumId="35">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6">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7">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bering>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4"/>
    <w:compatSetting w:name="useWord2013TrackBottomHyphenation" w:uri="http://schemas.microsoft.com/office/word" w:val="1"/>
  </w:compat>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rial" w:hAnsi="Arial" w:eastAsia="Arial" w:cs="Arial"/>
        <w:sz w:val="24"/>
        <w:szCs w:val="24"/>
        <w:lang w:val="es-ES" w:eastAsia="es-E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bidi w:val="0"/>
      <w:spacing w:before="0" w:after="0"/>
      <w:ind w:hanging="1"/>
      <w:jc w:val="left"/>
    </w:pPr>
    <w:rPr>
      <w:rFonts w:ascii="Arial" w:hAnsi="Arial" w:eastAsia="Arial" w:cs="Arial"/>
      <w:color w:val="auto"/>
      <w:kern w:val="0"/>
      <w:sz w:val="24"/>
      <w:szCs w:val="24"/>
      <w:lang w:val="es-ES" w:eastAsia="es-ES" w:bidi="ar-SA"/>
    </w:rPr>
  </w:style>
  <w:style w:type="paragraph" w:styleId="Ttulo1">
    <w:name w:val="Heading 1"/>
    <w:basedOn w:val="Normal"/>
    <w:next w:val="Normal"/>
    <w:qFormat/>
    <w:pPr>
      <w:keepNext w:val="true"/>
      <w:spacing w:before="0" w:after="240"/>
      <w:ind w:left="432" w:hanging="432"/>
      <w:outlineLvl w:val="0"/>
    </w:pPr>
    <w:rPr>
      <w:b/>
    </w:rPr>
  </w:style>
  <w:style w:type="paragraph" w:styleId="Ttulo2">
    <w:name w:val="Heading 2"/>
    <w:basedOn w:val="Normal"/>
    <w:next w:val="Normal"/>
    <w:qFormat/>
    <w:pPr>
      <w:keepNext w:val="true"/>
      <w:widowControl w:val="false"/>
      <w:ind w:left="576" w:hanging="576"/>
      <w:outlineLvl w:val="1"/>
    </w:pPr>
    <w:rPr>
      <w:b/>
    </w:rPr>
  </w:style>
  <w:style w:type="paragraph" w:styleId="Ttulo3">
    <w:name w:val="Heading 3"/>
    <w:basedOn w:val="Normal"/>
    <w:next w:val="Normal"/>
    <w:qFormat/>
    <w:pPr>
      <w:keepNext w:val="true"/>
      <w:ind w:left="720" w:hanging="720"/>
      <w:jc w:val="both"/>
      <w:outlineLvl w:val="2"/>
    </w:pPr>
    <w:rPr>
      <w:sz w:val="28"/>
      <w:szCs w:val="28"/>
    </w:rPr>
  </w:style>
  <w:style w:type="paragraph" w:styleId="Ttulo4">
    <w:name w:val="Heading 4"/>
    <w:basedOn w:val="Normal"/>
    <w:next w:val="Normal"/>
    <w:qFormat/>
    <w:pPr>
      <w:keepNext w:val="true"/>
      <w:ind w:left="864" w:hanging="864"/>
      <w:jc w:val="both"/>
      <w:outlineLvl w:val="3"/>
    </w:pPr>
    <w:rPr/>
  </w:style>
  <w:style w:type="paragraph" w:styleId="Ttulo5">
    <w:name w:val="Heading 5"/>
    <w:basedOn w:val="Normal"/>
    <w:next w:val="Normal"/>
    <w:qFormat/>
    <w:pPr>
      <w:keepNext w:val="true"/>
      <w:ind w:left="1008" w:hanging="1008"/>
      <w:outlineLvl w:val="4"/>
    </w:pPr>
    <w:rPr>
      <w:u w:val="single"/>
    </w:rPr>
  </w:style>
  <w:style w:type="paragraph" w:styleId="Ttulo6">
    <w:name w:val="Heading 6"/>
    <w:basedOn w:val="Normal"/>
    <w:next w:val="Normal"/>
    <w:qFormat/>
    <w:pPr>
      <w:keepNext w:val="true"/>
      <w:ind w:left="1152" w:hanging="1152"/>
      <w:outlineLvl w:val="5"/>
    </w:pPr>
    <w:rPr>
      <w:b/>
      <w:u w:val="single"/>
    </w:rPr>
  </w:style>
  <w:style w:type="character" w:styleId="DefaultParagraphFont" w:default="1">
    <w:name w:val="Default Paragraph Font"/>
    <w:uiPriority w:val="1"/>
    <w:unhideWhenUsed/>
    <w:qFormat/>
    <w:rPr/>
  </w:style>
  <w:style w:type="character" w:styleId="TextodegloboCar" w:customStyle="1">
    <w:name w:val="Texto de globo Car"/>
    <w:basedOn w:val="DefaultParagraphFont"/>
    <w:link w:val="BalloonText"/>
    <w:uiPriority w:val="99"/>
    <w:semiHidden/>
    <w:qFormat/>
    <w:rsid w:val="00a47dc5"/>
    <w:rPr>
      <w:rFonts w:ascii="Tahoma" w:hAnsi="Tahoma" w:cs="Tahoma"/>
      <w:sz w:val="16"/>
      <w:szCs w:val="16"/>
    </w:rPr>
  </w:style>
  <w:style w:type="character" w:styleId="T286pc" w:customStyle="1">
    <w:name w:val="t286pc"/>
    <w:basedOn w:val="DefaultParagraphFont"/>
    <w:qFormat/>
    <w:rsid w:val="005928c2"/>
    <w:rPr/>
  </w:style>
  <w:style w:type="character" w:styleId="Strong">
    <w:name w:val="Strong"/>
    <w:basedOn w:val="DefaultParagraphFont"/>
    <w:uiPriority w:val="22"/>
    <w:qFormat/>
    <w:rsid w:val="005928c2"/>
    <w:rPr>
      <w:b/>
      <w:bCs/>
    </w:rPr>
  </w:style>
  <w:style w:type="character" w:styleId="Destacado">
    <w:name w:val="Emphasis"/>
    <w:basedOn w:val="DefaultParagraphFont"/>
    <w:uiPriority w:val="20"/>
    <w:qFormat/>
    <w:rsid w:val="00f3180e"/>
    <w:rPr>
      <w:i/>
      <w:iCs/>
    </w:rPr>
  </w:style>
  <w:style w:type="character" w:styleId="Vkekvd" w:customStyle="1">
    <w:name w:val="vkekvd"/>
    <w:basedOn w:val="DefaultParagraphFont"/>
    <w:qFormat/>
    <w:rsid w:val="00ce4603"/>
    <w:rPr/>
  </w:style>
  <w:style w:type="paragraph" w:styleId="Ttulo">
    <w:name w:val="Título"/>
    <w:basedOn w:val="Normal"/>
    <w:next w:val="Cuerpodetexto"/>
    <w:qFormat/>
    <w:pPr>
      <w:keepNext w:val="true"/>
      <w:spacing w:before="240" w:after="120"/>
    </w:pPr>
    <w:rPr>
      <w:rFonts w:ascii="Liberation Sans" w:hAnsi="Liberation Sans" w:eastAsia="Noto Sans CJK SC" w:cs="FreeSans"/>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cs="FreeSans"/>
    </w:rPr>
  </w:style>
  <w:style w:type="paragraph" w:styleId="Leyenda">
    <w:name w:val="Caption"/>
    <w:basedOn w:val="Normal"/>
    <w:qFormat/>
    <w:pPr>
      <w:suppressLineNumbers/>
      <w:spacing w:before="120" w:after="120"/>
    </w:pPr>
    <w:rPr>
      <w:rFonts w:cs="FreeSans"/>
      <w:i/>
      <w:iCs/>
      <w:sz w:val="24"/>
      <w:szCs w:val="24"/>
    </w:rPr>
  </w:style>
  <w:style w:type="paragraph" w:styleId="Ndice">
    <w:name w:val="Índice"/>
    <w:basedOn w:val="Normal"/>
    <w:qFormat/>
    <w:pPr>
      <w:suppressLineNumbers/>
    </w:pPr>
    <w:rPr>
      <w:rFonts w:cs="FreeSans"/>
    </w:rPr>
  </w:style>
  <w:style w:type="paragraph" w:styleId="Ttulogeneral">
    <w:name w:val="Title"/>
    <w:basedOn w:val="Normal"/>
    <w:next w:val="Normal"/>
    <w:qFormat/>
    <w:pPr>
      <w:keepNext w:val="true"/>
      <w:keepLines/>
      <w:spacing w:before="480" w:after="120"/>
    </w:pPr>
    <w:rPr>
      <w:b/>
      <w:sz w:val="72"/>
      <w:szCs w:val="72"/>
    </w:rPr>
  </w:style>
  <w:style w:type="paragraph" w:styleId="BalloonText">
    <w:name w:val="Balloon Text"/>
    <w:basedOn w:val="Normal"/>
    <w:link w:val="TextodegloboCar"/>
    <w:uiPriority w:val="99"/>
    <w:semiHidden/>
    <w:unhideWhenUsed/>
    <w:qFormat/>
    <w:rsid w:val="00a47dc5"/>
    <w:pPr/>
    <w:rPr>
      <w:rFonts w:ascii="Tahoma" w:hAnsi="Tahoma" w:cs="Tahoma"/>
      <w:sz w:val="16"/>
      <w:szCs w:val="16"/>
    </w:rPr>
  </w:style>
  <w:style w:type="paragraph" w:styleId="ListParagraph">
    <w:name w:val="List Paragraph"/>
    <w:basedOn w:val="Normal"/>
    <w:uiPriority w:val="34"/>
    <w:qFormat/>
    <w:rsid w:val="00a47dc5"/>
    <w:pPr>
      <w:spacing w:before="0" w:after="0"/>
      <w:ind w:left="720" w:hanging="1"/>
      <w:contextualSpacing/>
    </w:pPr>
    <w:rPr/>
  </w:style>
  <w:style w:type="paragraph" w:styleId="NormalWeb">
    <w:name w:val="Normal (Web)"/>
    <w:basedOn w:val="Normal"/>
    <w:uiPriority w:val="99"/>
    <w:unhideWhenUsed/>
    <w:qFormat/>
    <w:rsid w:val="00ad2047"/>
    <w:pPr>
      <w:spacing w:beforeAutospacing="1" w:afterAutospacing="1"/>
      <w:ind w:hanging="0"/>
    </w:pPr>
    <w:rPr>
      <w:rFonts w:ascii="Times New Roman" w:hAnsi="Times New Roman" w:eastAsia="Times New Roman" w:cs="Times New Roman"/>
    </w:rPr>
  </w:style>
  <w:style w:type="paragraph" w:styleId="Subttulo">
    <w:name w:val="Subtitle"/>
    <w:basedOn w:val="Normal"/>
    <w:next w:val="Normal"/>
    <w:qFormat/>
    <w:pPr>
      <w:keepNext w:val="true"/>
      <w:keepLines/>
      <w:spacing w:before="360" w:after="80"/>
    </w:pPr>
    <w:rPr>
      <w:rFonts w:ascii="Georgia" w:hAnsi="Georgia" w:eastAsia="Georgia" w:cs="Georgia"/>
      <w:i/>
      <w:color w:val="666666"/>
      <w:sz w:val="48"/>
      <w:szCs w:val="48"/>
    </w:rPr>
  </w:style>
  <w:style w:type="paragraph" w:styleId="Cabeceraypie">
    <w:name w:val="Cabecera y pie"/>
    <w:basedOn w:val="Normal"/>
    <w:qFormat/>
    <w:pPr/>
    <w:rPr/>
  </w:style>
  <w:style w:type="paragraph" w:styleId="Cabecera">
    <w:name w:val="Header"/>
    <w:basedOn w:val="Cabeceraypie"/>
    <w:pPr/>
    <w:rPr/>
  </w:style>
  <w:style w:type="paragraph" w:styleId="Piedepgina">
    <w:name w:val="Footer"/>
    <w:basedOn w:val="Cabeceraypie"/>
    <w:pPr/>
    <w:rPr/>
  </w:style>
  <w:style w:type="numbering" w:styleId="NoList" w:default="1">
    <w:name w:val="No List"/>
    <w:uiPriority w:val="99"/>
    <w:semiHidden/>
    <w:unhideWhenUsed/>
    <w:qFormat/>
  </w:style>
  <w:style w:type="table" w:default="1" w:styleId="Tablanormal">
    <w:name w:val="Normal Table"/>
    <w:uiPriority w:val="99"/>
    <w:semiHidden/>
    <w:unhideWhenUsed/>
    <w:tblPr>
      <w:tblCellMar>
        <w:top w:w="0" w:type="dxa"/>
        <w:left w:w="108" w:type="dxa"/>
        <w:bottom w:w="0" w:type="dxa"/>
        <w:right w:w="108" w:type="dxa"/>
      </w:tblCellMar>
    </w:tblPr>
  </w:style>
  <w:style w:type="table" w:customStyle="1" w:styleId="TableNormal">
    <w:name w:val="TableNormal"/>
    <w:tblPr>
      <w:tblCellMar>
        <w:top w:w="100" w:type="dxa"/>
        <w:left w:w="100" w:type="dxa"/>
        <w:bottom w:w="100" w:type="dxa"/>
        <w:right w:w="100" w:type="dxa"/>
      </w:tblCellMar>
    </w:tbl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styleId="Tablaconcuadrcula">
    <w:name w:val="Table Grid"/>
    <w:basedOn w:val="Tablanormal"/>
    <w:uiPriority w:val="59"/>
    <w:rsid w:val="00ad2047"/>
    <w:pPr/>
    <w:rPr>
      <w:rFonts w:asciiTheme="minorHAnsi" w:hAnsiTheme="minorHAnsi" w:eastAsiaTheme="minorHAnsi" w:cstheme="minorBidi"/>
      <w:lang w:eastAsia="en-US"/>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image" Target="media/image4.png"/><Relationship Id="rId6" Type="http://schemas.openxmlformats.org/officeDocument/2006/relationships/image" Target="media/image5.png"/><Relationship Id="rId7" Type="http://schemas.openxmlformats.org/officeDocument/2006/relationships/image" Target="media/image6.png"/><Relationship Id="rId8" Type="http://schemas.openxmlformats.org/officeDocument/2006/relationships/image" Target="media/image7.png"/><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footer" Target="footer2.xml"/><Relationship Id="rId12" Type="http://schemas.openxmlformats.org/officeDocument/2006/relationships/header" Target="header2.xml"/><Relationship Id="rId13" Type="http://schemas.openxmlformats.org/officeDocument/2006/relationships/footer" Target="footer3.xml"/><Relationship Id="rId14" Type="http://schemas.openxmlformats.org/officeDocument/2006/relationships/footer" Target="footer4.xml"/><Relationship Id="rId15" Type="http://schemas.openxmlformats.org/officeDocument/2006/relationships/header" Target="header3.xml"/><Relationship Id="rId16" Type="http://schemas.openxmlformats.org/officeDocument/2006/relationships/footer" Target="footer5.xml"/><Relationship Id="rId17" Type="http://schemas.openxmlformats.org/officeDocument/2006/relationships/footer" Target="footer6.xml"/><Relationship Id="rId18" Type="http://schemas.openxmlformats.org/officeDocument/2006/relationships/numbering" Target="numbering.xml"/><Relationship Id="rId19" Type="http://schemas.openxmlformats.org/officeDocument/2006/relationships/fontTable" Target="fontTable.xml"/><Relationship Id="rId20" Type="http://schemas.openxmlformats.org/officeDocument/2006/relationships/settings" Target="settings.xml"/><Relationship Id="rId21" Type="http://schemas.openxmlformats.org/officeDocument/2006/relationships/theme" Target="theme/theme1.xml"/><Relationship Id="rId22"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roundtripDataSignature="AMtx7miXBxySq4+rccMgllTddd7FnhFeLg==">CgMxLjAyCWguMWZvYjl0ZTIJaC4zem55c2g3MgloLjJldDkycDAyCGguZ2pkZ3hzMg5oLmptbnBhOWh5N2k4ODIJaC4zMGowemxsMghoLnR5amN3dDgAciExdk1wSmpWLVB5aTZLSUZ3bkUzYUdPVHRSaW96a0t3Q1c=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492</TotalTime>
  <Application>LibreOffice/7.4.7.2$Linux_X86_64 LibreOffice_project/40$Build-2</Application>
  <AppVersion>15.0000</AppVersion>
  <Pages>29</Pages>
  <Words>13069</Words>
  <Characters>70802</Characters>
  <CharactersWithSpaces>84080</CharactersWithSpaces>
  <Paragraphs>985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2024-01-16T07:07:00Z</dcterms:created>
  <dc:creator/>
  <dc:description/>
  <dc:language>es-ES</dc:language>
  <cp:lastModifiedBy>argar aulas</cp:lastModifiedBy>
  <dcterms:modified xsi:type="dcterms:W3CDTF">2025-10-29T12:37:00Z</dcterms:modified>
  <cp:revision>10</cp:revision>
  <dc:subject/>
  <dc:title/>
</cp:coreProperties>
</file>

<file path=docProps/custom.xml><?xml version="1.0" encoding="utf-8"?>
<Properties xmlns="http://schemas.openxmlformats.org/officeDocument/2006/custom-properties" xmlns:vt="http://schemas.openxmlformats.org/officeDocument/2006/docPropsVTypes"/>
</file>